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DAF" w:rsidRPr="00EB0DAF" w:rsidRDefault="00EB0DAF" w:rsidP="00EB0DAF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EB0DAF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EB0DAF" w:rsidRPr="00EB0DAF" w:rsidRDefault="00EB0DAF" w:rsidP="00EB0DA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EB0DAF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EB0DAF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EB0DAF" w:rsidRPr="00EB0DAF" w:rsidRDefault="00EB0DAF" w:rsidP="00EB0DA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EB0DAF">
        <w:rPr>
          <w:rFonts w:ascii="Arial" w:eastAsia="Times New Roman" w:hAnsi="Arial" w:cs="Arial"/>
          <w:b/>
          <w:bCs/>
          <w:color w:val="636262"/>
          <w:sz w:val="27"/>
          <w:szCs w:val="27"/>
        </w:rPr>
        <w:t>José Luis Torres Arellano</w:t>
      </w:r>
    </w:p>
    <w:p w:rsidR="00EB0DAF" w:rsidRPr="00EB0DAF" w:rsidRDefault="00EB0DAF" w:rsidP="00EB0DA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EB0DAF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EB0DAF" w:rsidRPr="00EB0DAF" w:rsidRDefault="00EB0DAF" w:rsidP="00EB0DA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EB0DAF">
        <w:rPr>
          <w:rFonts w:ascii="Arial" w:eastAsia="Times New Roman" w:hAnsi="Arial" w:cs="Arial"/>
          <w:b/>
          <w:bCs/>
          <w:color w:val="636262"/>
          <w:sz w:val="27"/>
        </w:rPr>
        <w:t>J.U.D. de Alineamientos y Números Oficiales</w:t>
      </w:r>
    </w:p>
    <w:p w:rsidR="00EB0DAF" w:rsidRPr="00EB0DAF" w:rsidRDefault="00EB0DAF" w:rsidP="00EB0DA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jose_luis_torres_arell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ose_luis_torres_arellan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DAF" w:rsidRPr="00EB0DAF" w:rsidRDefault="00EB0DAF" w:rsidP="00EB0DAF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0"/>
        <w:gridCol w:w="10290"/>
      </w:tblGrid>
      <w:tr w:rsidR="00EB0DAF" w:rsidRPr="00EB0DAF" w:rsidTr="00EB0DAF">
        <w:trPr>
          <w:tblCellSpacing w:w="15" w:type="dxa"/>
        </w:trPr>
        <w:tc>
          <w:tcPr>
            <w:tcW w:w="2130" w:type="dxa"/>
            <w:hideMark/>
          </w:tcPr>
          <w:p w:rsidR="00EB0DAF" w:rsidRPr="00EB0DAF" w:rsidRDefault="00EB0DAF" w:rsidP="00EB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EB0DAF" w:rsidRPr="00EB0DAF" w:rsidRDefault="00EB0DAF" w:rsidP="00EB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AF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Ingeniero Civil. (titulación en proceso)</w:t>
            </w:r>
          </w:p>
        </w:tc>
      </w:tr>
      <w:tr w:rsidR="00EB0DAF" w:rsidRPr="00EB0DAF" w:rsidTr="00EB0DAF">
        <w:trPr>
          <w:tblCellSpacing w:w="15" w:type="dxa"/>
        </w:trPr>
        <w:tc>
          <w:tcPr>
            <w:tcW w:w="0" w:type="auto"/>
            <w:hideMark/>
          </w:tcPr>
          <w:p w:rsidR="00EB0DAF" w:rsidRPr="00EB0DAF" w:rsidRDefault="00EB0DAF" w:rsidP="00EB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B0DAF" w:rsidRPr="00EB0DAF" w:rsidRDefault="00EB0DAF" w:rsidP="00EB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0DAF" w:rsidRPr="00EB0DAF" w:rsidTr="00EB0DAF">
        <w:trPr>
          <w:tblCellSpacing w:w="15" w:type="dxa"/>
        </w:trPr>
        <w:tc>
          <w:tcPr>
            <w:tcW w:w="0" w:type="auto"/>
            <w:hideMark/>
          </w:tcPr>
          <w:p w:rsidR="00EB0DAF" w:rsidRPr="00EB0DAF" w:rsidRDefault="00EB0DAF" w:rsidP="00EB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EB0DAF" w:rsidRPr="00EB0DAF" w:rsidRDefault="00EB0DAF" w:rsidP="00EB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AF">
              <w:rPr>
                <w:rFonts w:ascii="Times New Roman" w:eastAsia="Times New Roman" w:hAnsi="Times New Roman" w:cs="Times New Roman"/>
                <w:sz w:val="24"/>
                <w:szCs w:val="24"/>
              </w:rPr>
              <w:t>Analizar y evaluar las Licencias de Construcción Especial y solicitudes de Registro de Obra. Analizar y evaluar la expedición de Licencias de Fusión, Subdivisión o Relotificación. Analizar y evaluar la Expedición de Constancia de Alineamiento y Número Oficial. Analizar y evaluar las solicitudes de regularización e inmuebles dedicados a vivienda con base en Acuerdos de Facilidades Administrativas. Analizar y evaluar los Registros de Manifestación de Construcción tipo A, B o C, así como sus prorrogas. Analizar y evaluar el uso y ocupación de obras.</w:t>
            </w:r>
          </w:p>
        </w:tc>
      </w:tr>
      <w:tr w:rsidR="00EB0DAF" w:rsidRPr="00EB0DAF" w:rsidTr="00EB0DAF">
        <w:trPr>
          <w:tblCellSpacing w:w="15" w:type="dxa"/>
        </w:trPr>
        <w:tc>
          <w:tcPr>
            <w:tcW w:w="0" w:type="auto"/>
            <w:hideMark/>
          </w:tcPr>
          <w:p w:rsidR="00EB0DAF" w:rsidRPr="00EB0DAF" w:rsidRDefault="00EB0DAF" w:rsidP="00EB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B0DAF" w:rsidRPr="00EB0DAF" w:rsidRDefault="00EB0DAF" w:rsidP="00EB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0DAF" w:rsidRPr="00EB0DAF" w:rsidTr="00EB0DAF">
        <w:trPr>
          <w:tblCellSpacing w:w="15" w:type="dxa"/>
        </w:trPr>
        <w:tc>
          <w:tcPr>
            <w:tcW w:w="0" w:type="auto"/>
            <w:hideMark/>
          </w:tcPr>
          <w:p w:rsidR="00EB0DAF" w:rsidRPr="00EB0DAF" w:rsidRDefault="00EB0DAF" w:rsidP="00EB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EB0DAF" w:rsidRPr="00EB0DAF" w:rsidRDefault="00EB0DAF" w:rsidP="00EB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0DAF" w:rsidRPr="00EB0DAF" w:rsidTr="00EB0DAF">
        <w:trPr>
          <w:tblCellSpacing w:w="15" w:type="dxa"/>
        </w:trPr>
        <w:tc>
          <w:tcPr>
            <w:tcW w:w="0" w:type="auto"/>
            <w:hideMark/>
          </w:tcPr>
          <w:p w:rsidR="00EB0DAF" w:rsidRPr="00EB0DAF" w:rsidRDefault="00EB0DAF" w:rsidP="00EB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B0DAF" w:rsidRPr="00EB0DAF" w:rsidRDefault="00EB0DAF" w:rsidP="00EB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0DAF" w:rsidRPr="00EB0DAF" w:rsidTr="00EB0DAF">
        <w:trPr>
          <w:tblCellSpacing w:w="15" w:type="dxa"/>
        </w:trPr>
        <w:tc>
          <w:tcPr>
            <w:tcW w:w="0" w:type="auto"/>
            <w:hideMark/>
          </w:tcPr>
          <w:p w:rsidR="00EB0DAF" w:rsidRPr="00EB0DAF" w:rsidRDefault="00EB0DAF" w:rsidP="00EB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A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EB0DAF" w:rsidRPr="00EB0DAF" w:rsidRDefault="00EB0DAF" w:rsidP="00EB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AF">
              <w:rPr>
                <w:rFonts w:ascii="Times New Roman" w:eastAsia="Times New Roman" w:hAnsi="Times New Roman" w:cs="Times New Roman"/>
                <w:sz w:val="24"/>
                <w:szCs w:val="24"/>
              </w:rPr>
              <w:t>de julio/2013 a actual</w:t>
            </w:r>
          </w:p>
        </w:tc>
      </w:tr>
      <w:tr w:rsidR="00EB0DAF" w:rsidRPr="00EB0DAF" w:rsidTr="00EB0DAF">
        <w:trPr>
          <w:tblCellSpacing w:w="15" w:type="dxa"/>
        </w:trPr>
        <w:tc>
          <w:tcPr>
            <w:tcW w:w="0" w:type="auto"/>
            <w:hideMark/>
          </w:tcPr>
          <w:p w:rsidR="00EB0DAF" w:rsidRPr="00EB0DAF" w:rsidRDefault="00EB0DAF" w:rsidP="00EB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A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EB0DAF" w:rsidRPr="00EB0DAF" w:rsidRDefault="00EB0DAF" w:rsidP="00EB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AF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 Dirección General de Obras y Desarrollo Urbano.</w:t>
            </w:r>
          </w:p>
        </w:tc>
      </w:tr>
      <w:tr w:rsidR="00EB0DAF" w:rsidRPr="00EB0DAF" w:rsidTr="00EB0DAF">
        <w:trPr>
          <w:tblCellSpacing w:w="15" w:type="dxa"/>
        </w:trPr>
        <w:tc>
          <w:tcPr>
            <w:tcW w:w="0" w:type="auto"/>
            <w:hideMark/>
          </w:tcPr>
          <w:p w:rsidR="00EB0DAF" w:rsidRPr="00EB0DAF" w:rsidRDefault="00EB0DAF" w:rsidP="00EB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0" w:type="auto"/>
            <w:hideMark/>
          </w:tcPr>
          <w:p w:rsidR="00EB0DAF" w:rsidRPr="00EB0DAF" w:rsidRDefault="00EB0DAF" w:rsidP="00EB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AF">
              <w:rPr>
                <w:rFonts w:ascii="Times New Roman" w:eastAsia="Times New Roman" w:hAnsi="Times New Roman" w:cs="Times New Roman"/>
                <w:sz w:val="24"/>
                <w:szCs w:val="24"/>
              </w:rPr>
              <w:t>J.U.D. de Alineamientos y Números Oficiales</w:t>
            </w:r>
          </w:p>
        </w:tc>
      </w:tr>
      <w:tr w:rsidR="00EB0DAF" w:rsidRPr="00EB0DAF" w:rsidTr="00EB0DAF">
        <w:trPr>
          <w:tblCellSpacing w:w="15" w:type="dxa"/>
        </w:trPr>
        <w:tc>
          <w:tcPr>
            <w:tcW w:w="0" w:type="auto"/>
            <w:hideMark/>
          </w:tcPr>
          <w:p w:rsidR="00EB0DAF" w:rsidRPr="00EB0DAF" w:rsidRDefault="00EB0DAF" w:rsidP="00EB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B0DAF" w:rsidRPr="00EB0DAF" w:rsidRDefault="00EB0DAF" w:rsidP="00EB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0DAF" w:rsidRPr="00EB0DAF" w:rsidTr="00EB0DAF">
        <w:trPr>
          <w:tblCellSpacing w:w="15" w:type="dxa"/>
        </w:trPr>
        <w:tc>
          <w:tcPr>
            <w:tcW w:w="0" w:type="auto"/>
            <w:hideMark/>
          </w:tcPr>
          <w:p w:rsidR="00EB0DAF" w:rsidRPr="00EB0DAF" w:rsidRDefault="00EB0DAF" w:rsidP="00EB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A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EB0DAF" w:rsidRPr="00EB0DAF" w:rsidRDefault="00EB0DAF" w:rsidP="00EB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AF">
              <w:rPr>
                <w:rFonts w:ascii="Times New Roman" w:eastAsia="Times New Roman" w:hAnsi="Times New Roman" w:cs="Times New Roman"/>
                <w:sz w:val="24"/>
                <w:szCs w:val="24"/>
              </w:rPr>
              <w:t>de septiembre/2008 a octubre/2009</w:t>
            </w:r>
          </w:p>
        </w:tc>
      </w:tr>
      <w:tr w:rsidR="00EB0DAF" w:rsidRPr="00EB0DAF" w:rsidTr="00EB0DAF">
        <w:trPr>
          <w:tblCellSpacing w:w="15" w:type="dxa"/>
        </w:trPr>
        <w:tc>
          <w:tcPr>
            <w:tcW w:w="0" w:type="auto"/>
            <w:hideMark/>
          </w:tcPr>
          <w:p w:rsidR="00EB0DAF" w:rsidRPr="00EB0DAF" w:rsidRDefault="00EB0DAF" w:rsidP="00EB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A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EB0DAF" w:rsidRPr="00EB0DAF" w:rsidRDefault="00EB0DAF" w:rsidP="00EB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AF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Tlalpan. Dirección de Manifestaciones y Licencias.</w:t>
            </w:r>
          </w:p>
        </w:tc>
      </w:tr>
      <w:tr w:rsidR="00EB0DAF" w:rsidRPr="00EB0DAF" w:rsidTr="00EB0DAF">
        <w:trPr>
          <w:tblCellSpacing w:w="15" w:type="dxa"/>
        </w:trPr>
        <w:tc>
          <w:tcPr>
            <w:tcW w:w="0" w:type="auto"/>
            <w:hideMark/>
          </w:tcPr>
          <w:p w:rsidR="00EB0DAF" w:rsidRPr="00EB0DAF" w:rsidRDefault="00EB0DAF" w:rsidP="00EB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A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EB0DAF" w:rsidRPr="00EB0DAF" w:rsidRDefault="00EB0DAF" w:rsidP="00EB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AF">
              <w:rPr>
                <w:rFonts w:ascii="Times New Roman" w:eastAsia="Times New Roman" w:hAnsi="Times New Roman" w:cs="Times New Roman"/>
                <w:sz w:val="24"/>
                <w:szCs w:val="24"/>
              </w:rPr>
              <w:t>Subdirector de Permisos, Manifestaciones y Licencias.</w:t>
            </w:r>
          </w:p>
        </w:tc>
      </w:tr>
      <w:tr w:rsidR="00EB0DAF" w:rsidRPr="00EB0DAF" w:rsidTr="00EB0DAF">
        <w:trPr>
          <w:tblCellSpacing w:w="15" w:type="dxa"/>
        </w:trPr>
        <w:tc>
          <w:tcPr>
            <w:tcW w:w="0" w:type="auto"/>
            <w:hideMark/>
          </w:tcPr>
          <w:p w:rsidR="00EB0DAF" w:rsidRPr="00EB0DAF" w:rsidRDefault="00EB0DAF" w:rsidP="00EB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B0DAF" w:rsidRPr="00EB0DAF" w:rsidRDefault="00EB0DAF" w:rsidP="00EB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0DAF" w:rsidRPr="00EB0DAF" w:rsidTr="00EB0DAF">
        <w:trPr>
          <w:tblCellSpacing w:w="15" w:type="dxa"/>
        </w:trPr>
        <w:tc>
          <w:tcPr>
            <w:tcW w:w="0" w:type="auto"/>
            <w:hideMark/>
          </w:tcPr>
          <w:p w:rsidR="00EB0DAF" w:rsidRPr="00EB0DAF" w:rsidRDefault="00EB0DAF" w:rsidP="00EB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A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EB0DAF" w:rsidRPr="00EB0DAF" w:rsidRDefault="00EB0DAF" w:rsidP="00EB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AF">
              <w:rPr>
                <w:rFonts w:ascii="Times New Roman" w:eastAsia="Times New Roman" w:hAnsi="Times New Roman" w:cs="Times New Roman"/>
                <w:sz w:val="24"/>
                <w:szCs w:val="24"/>
              </w:rPr>
              <w:t>de abril/2001 a mayo/2005</w:t>
            </w:r>
          </w:p>
        </w:tc>
      </w:tr>
      <w:tr w:rsidR="00EB0DAF" w:rsidRPr="00EB0DAF" w:rsidTr="00EB0DAF">
        <w:trPr>
          <w:tblCellSpacing w:w="15" w:type="dxa"/>
        </w:trPr>
        <w:tc>
          <w:tcPr>
            <w:tcW w:w="0" w:type="auto"/>
            <w:hideMark/>
          </w:tcPr>
          <w:p w:rsidR="00EB0DAF" w:rsidRPr="00EB0DAF" w:rsidRDefault="00EB0DAF" w:rsidP="00EB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A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EB0DAF" w:rsidRPr="00EB0DAF" w:rsidRDefault="00EB0DAF" w:rsidP="00EB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AF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Obregón.</w:t>
            </w:r>
          </w:p>
        </w:tc>
      </w:tr>
      <w:tr w:rsidR="00EB0DAF" w:rsidRPr="00EB0DAF" w:rsidTr="00EB0DAF">
        <w:trPr>
          <w:tblCellSpacing w:w="15" w:type="dxa"/>
        </w:trPr>
        <w:tc>
          <w:tcPr>
            <w:tcW w:w="0" w:type="auto"/>
            <w:hideMark/>
          </w:tcPr>
          <w:p w:rsidR="00EB0DAF" w:rsidRPr="00EB0DAF" w:rsidRDefault="00EB0DAF" w:rsidP="00EB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A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EB0DAF" w:rsidRPr="00EB0DAF" w:rsidRDefault="00EB0DAF" w:rsidP="00EB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AF">
              <w:rPr>
                <w:rFonts w:ascii="Times New Roman" w:eastAsia="Times New Roman" w:hAnsi="Times New Roman" w:cs="Times New Roman"/>
                <w:sz w:val="24"/>
                <w:szCs w:val="24"/>
              </w:rPr>
              <w:t>Unidad Departamental de Licencias de Construcción.</w:t>
            </w:r>
          </w:p>
        </w:tc>
      </w:tr>
    </w:tbl>
    <w:p w:rsidR="006E6858" w:rsidRDefault="006E6858"/>
    <w:sectPr w:rsidR="006E68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EB0DAF"/>
    <w:rsid w:val="006E6858"/>
    <w:rsid w:val="00EB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B0D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B0DA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EB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EB0DAF"/>
  </w:style>
  <w:style w:type="paragraph" w:styleId="NormalWeb">
    <w:name w:val="Normal (Web)"/>
    <w:basedOn w:val="Normal"/>
    <w:uiPriority w:val="99"/>
    <w:semiHidden/>
    <w:unhideWhenUsed/>
    <w:rsid w:val="00EB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B0DA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458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2017-09-28T18:03:00Z</dcterms:created>
  <dcterms:modified xsi:type="dcterms:W3CDTF">2017-09-28T18:03:00Z</dcterms:modified>
</cp:coreProperties>
</file>