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AB" w:rsidRPr="00C42BFD" w:rsidRDefault="00795CAB" w:rsidP="00F34E43">
      <w:pPr>
        <w:pStyle w:val="Ttulo"/>
        <w:rPr>
          <w:b/>
          <w:caps/>
          <w:sz w:val="20"/>
        </w:rPr>
      </w:pPr>
      <w:bookmarkStart w:id="0" w:name="_GoBack"/>
      <w:bookmarkEnd w:id="0"/>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057342">
        <w:rPr>
          <w:b/>
          <w:noProof/>
        </w:rPr>
        <w:t>6</w:t>
      </w:r>
      <w:r w:rsidR="00612366">
        <w:rPr>
          <w:b/>
          <w:noProof/>
        </w:rPr>
        <w:t>-2016</w:t>
      </w:r>
    </w:p>
    <w:p w:rsidR="00C1140F" w:rsidRPr="00C42BFD" w:rsidRDefault="00C1140F" w:rsidP="00B819CE">
      <w:pPr>
        <w:pStyle w:val="Ttul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3852D6" w:rsidRPr="00C42BFD" w:rsidTr="00B819CE">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Default="003852D6" w:rsidP="00F34E43">
            <w:pPr>
              <w:keepNext/>
              <w:jc w:val="center"/>
              <w:outlineLvl w:val="2"/>
              <w:rPr>
                <w:b/>
              </w:rPr>
            </w:pPr>
            <w:r w:rsidRPr="00C42BFD">
              <w:rPr>
                <w:b/>
              </w:rPr>
              <w:t>No. de Licitación</w:t>
            </w:r>
          </w:p>
          <w:p w:rsidR="00B819CE" w:rsidRPr="00C42BF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Default="003852D6" w:rsidP="00A81F58">
            <w:pPr>
              <w:jc w:val="center"/>
              <w:rPr>
                <w:b/>
              </w:rPr>
            </w:pPr>
            <w:r w:rsidRPr="00C42BFD">
              <w:rPr>
                <w:b/>
              </w:rPr>
              <w:t>Fecha estimada de</w:t>
            </w:r>
          </w:p>
          <w:p w:rsidR="00A81F58" w:rsidRPr="00C42BFD" w:rsidRDefault="00A81F58" w:rsidP="00A81F58">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Default="00A81F58" w:rsidP="00F34E43">
            <w:pPr>
              <w:jc w:val="center"/>
              <w:rPr>
                <w:b/>
              </w:rPr>
            </w:pPr>
            <w:r w:rsidRPr="00C42BFD">
              <w:rPr>
                <w:b/>
              </w:rPr>
              <w:t>R</w:t>
            </w:r>
            <w:r w:rsidR="003852D6" w:rsidRPr="00C42BFD">
              <w:rPr>
                <w:b/>
              </w:rPr>
              <w:t>equerido</w:t>
            </w:r>
          </w:p>
          <w:p w:rsidR="00A81F58" w:rsidRPr="00C42BFD" w:rsidRDefault="00A81F58" w:rsidP="00F34E43">
            <w:pPr>
              <w:jc w:val="center"/>
              <w:rPr>
                <w:b/>
              </w:rPr>
            </w:pPr>
          </w:p>
        </w:tc>
      </w:tr>
      <w:tr w:rsidR="003852D6" w:rsidRPr="00C42BFD" w:rsidTr="00B819CE">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B819CE">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057342">
            <w:pPr>
              <w:jc w:val="center"/>
            </w:pPr>
            <w:r w:rsidRPr="00C42BFD">
              <w:rPr>
                <w:noProof/>
              </w:rPr>
              <w:t>300011</w:t>
            </w:r>
            <w:r w:rsidR="00EC6BC0" w:rsidRPr="00C42BFD">
              <w:rPr>
                <w:noProof/>
              </w:rPr>
              <w:t>33</w:t>
            </w:r>
            <w:r w:rsidRPr="00C42BFD">
              <w:rPr>
                <w:noProof/>
              </w:rPr>
              <w:t>-0</w:t>
            </w:r>
            <w:r w:rsidR="00EC6BC0" w:rsidRPr="00C42BFD">
              <w:rPr>
                <w:noProof/>
              </w:rPr>
              <w:t>0</w:t>
            </w:r>
            <w:r w:rsidR="00057342">
              <w:rPr>
                <w:noProof/>
              </w:rPr>
              <w:t>7</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Pr="00A81F58" w:rsidRDefault="00A070C2" w:rsidP="00065F47">
            <w:pPr>
              <w:jc w:val="both"/>
            </w:pPr>
            <w:r w:rsidRPr="00A070C2">
              <w:t>TRABAJOS DE: REPARACIÓN DE CANALETA EN LA COLONIA CEDRO CHICO; REHABILITACIÓN DE DRENAJE EN CALLE MINA ZOYAPAN COLONIA LOMAS DE SANTO DOMINGO AMPL.; SUSTITUCIÓN DE COLADERAS EN LA COLONIA LORETO; CAMBIO DE DRENAJE EN 3RA. CDA. DE FRANCISCO VILLA EN LA COLONIA TLACOYAQUE; CAMBIO DE LA RED SECUNDARIA DE AGUA POTABLE EN LA COLONIA EL PIRU (FRACC); DISTRIBUCIÓN DE AGUA POTABLE EN LA COLONIA FLOR DE MARIA; REHABILITACIÓN DE LA RED SECUNDARIA DE AGUA POTABLE EN LA COLONIA GALEANA; CAMBIO DE TUBERÍA EN LA COLONIA LADERA GRANDE O LA CEBADITA; CAMBIO DE TUBERÍA EN LA RED HIDRÁULICA EN LA COLONIA LOMAS DE LOS CEDROS; CAMBIO Y REPOSICIÓN DE LA TUBERÍA DE LA RED HIDRÁULICA EN LA COLONIA REAL DEL MONTE; CAMBIO DE LA RED DE AGUA POTABLE EN LA COLONIA TETELPAN (PBLO); Y CAMBIO DE TUBERÍA DE AGUA POTABLE EN LA COLONIA BELEN DE LAS FLORES;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057342" w:rsidP="0056142B">
            <w:pPr>
              <w:jc w:val="center"/>
              <w:rPr>
                <w:lang w:val="es-MX"/>
              </w:rPr>
            </w:pPr>
            <w:r>
              <w:rPr>
                <w:noProof/>
                <w:lang w:val="es-MX"/>
              </w:rPr>
              <w:t>1</w:t>
            </w:r>
            <w:r w:rsidR="0056142B">
              <w:rPr>
                <w:noProof/>
                <w:lang w:val="es-MX"/>
              </w:rPr>
              <w:t>2</w:t>
            </w:r>
            <w:r w:rsidR="00C66725" w:rsidRPr="00C42BFD">
              <w:rPr>
                <w:noProof/>
                <w:lang w:val="es-MX"/>
              </w:rPr>
              <w:t>/0</w:t>
            </w:r>
            <w:r>
              <w:rPr>
                <w:noProof/>
                <w:lang w:val="es-MX"/>
              </w:rPr>
              <w:t>7</w:t>
            </w:r>
            <w:r w:rsidR="00C66725" w:rsidRPr="00C42BFD">
              <w:rPr>
                <w:noProof/>
                <w:lang w:val="es-MX"/>
              </w:rPr>
              <w:t>/201</w:t>
            </w:r>
            <w:r w:rsidR="00EC6BC0" w:rsidRPr="00C42BF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CB5DE1" w:rsidP="00CB5DE1">
            <w:pPr>
              <w:jc w:val="center"/>
            </w:pPr>
            <w:r>
              <w:rPr>
                <w:noProof/>
              </w:rPr>
              <w:t>3</w:t>
            </w:r>
            <w:r w:rsidR="0056142B">
              <w:rPr>
                <w:noProof/>
              </w:rPr>
              <w:t>1</w:t>
            </w:r>
            <w:r w:rsidR="009D408C" w:rsidRPr="00C42BFD">
              <w:rPr>
                <w:noProof/>
              </w:rPr>
              <w:t>/</w:t>
            </w:r>
            <w:r>
              <w:rPr>
                <w:noProof/>
              </w:rPr>
              <w:t>08</w:t>
            </w:r>
            <w:r w:rsidR="00C66725" w:rsidRPr="00C42BFD">
              <w:rPr>
                <w:noProof/>
              </w:rPr>
              <w:t>/201</w:t>
            </w:r>
            <w:r w:rsidR="00EC6BC0" w:rsidRPr="00C42BF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A070C2">
            <w:pPr>
              <w:jc w:val="center"/>
              <w:rPr>
                <w:highlight w:val="yellow"/>
              </w:rPr>
            </w:pPr>
            <w:r w:rsidRPr="00B04BC4">
              <w:rPr>
                <w:noProof/>
              </w:rPr>
              <w:t>$</w:t>
            </w:r>
            <w:r w:rsidR="00A070C2">
              <w:rPr>
                <w:noProof/>
              </w:rPr>
              <w:t>2</w:t>
            </w:r>
            <w:r w:rsidR="00433A2D" w:rsidRPr="00B04BC4">
              <w:rPr>
                <w:noProof/>
              </w:rPr>
              <w:t>,</w:t>
            </w:r>
            <w:r w:rsidR="00A070C2">
              <w:rPr>
                <w:noProof/>
              </w:rPr>
              <w:t>350</w:t>
            </w:r>
            <w:r w:rsidR="00433A2D" w:rsidRPr="00B04BC4">
              <w:rPr>
                <w:noProof/>
              </w:rPr>
              <w:t>,</w:t>
            </w:r>
            <w:r w:rsidR="00A070C2">
              <w:rPr>
                <w:noProof/>
              </w:rPr>
              <w:t>000</w:t>
            </w:r>
            <w:r w:rsidR="00433A2D" w:rsidRPr="00B04BC4">
              <w:rPr>
                <w:noProof/>
              </w:rPr>
              <w:t>.</w:t>
            </w:r>
            <w:r w:rsidR="00A070C2">
              <w:rPr>
                <w:noProof/>
              </w:rPr>
              <w:t>00</w:t>
            </w:r>
          </w:p>
        </w:tc>
      </w:tr>
      <w:tr w:rsidR="003852D6" w:rsidRPr="00C42BFD" w:rsidTr="00A81F58">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A81F58">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Fecha límite para</w:t>
            </w:r>
          </w:p>
          <w:p w:rsidR="00B819CE" w:rsidRPr="00C42BFD" w:rsidRDefault="003852D6" w:rsidP="009C057C">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Visita al lugar de la</w:t>
            </w:r>
          </w:p>
          <w:p w:rsidR="003852D6" w:rsidRPr="00C42BFD" w:rsidRDefault="003852D6" w:rsidP="00B819CE">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Junta de</w:t>
            </w:r>
          </w:p>
          <w:p w:rsidR="003852D6" w:rsidRPr="00C42BFD" w:rsidRDefault="003852D6" w:rsidP="00B819CE">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keepNext/>
              <w:jc w:val="center"/>
              <w:outlineLvl w:val="2"/>
              <w:rPr>
                <w:b/>
              </w:rPr>
            </w:pPr>
          </w:p>
          <w:p w:rsidR="003852D6" w:rsidRPr="00C42BFD" w:rsidRDefault="003852D6" w:rsidP="00B819CE">
            <w:pPr>
              <w:keepNext/>
              <w:jc w:val="center"/>
              <w:outlineLvl w:val="2"/>
              <w:rPr>
                <w:b/>
              </w:rPr>
            </w:pPr>
            <w:r w:rsidRPr="00C42BFD">
              <w:rPr>
                <w:b/>
              </w:rPr>
              <w:t>Fallo</w:t>
            </w:r>
          </w:p>
        </w:tc>
      </w:tr>
      <w:tr w:rsidR="00291224" w:rsidRPr="00C42BFD" w:rsidTr="00A81F58">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F34E43">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B819CE" w:rsidRDefault="00B819CE" w:rsidP="00F34E43">
            <w:pPr>
              <w:jc w:val="center"/>
            </w:pPr>
          </w:p>
          <w:p w:rsidR="00C1140F" w:rsidRPr="00C42BFD" w:rsidRDefault="00C1140F" w:rsidP="00F34E43">
            <w:pPr>
              <w:jc w:val="center"/>
            </w:pPr>
            <w:r w:rsidRPr="00C42BFD">
              <w:t>$2,</w:t>
            </w:r>
            <w:r w:rsidR="00EC6BC0" w:rsidRPr="00C42BFD">
              <w:t>7</w:t>
            </w:r>
            <w:r w:rsidRPr="00C42BFD">
              <w:t>00.00</w:t>
            </w:r>
          </w:p>
          <w:p w:rsidR="00291224" w:rsidRPr="00C42BFD" w:rsidRDefault="00291224" w:rsidP="00F34E43">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732EAE" w:rsidP="0056142B">
            <w:pPr>
              <w:jc w:val="center"/>
              <w:rPr>
                <w:highlight w:val="yellow"/>
                <w:lang w:val="es-MX"/>
              </w:rPr>
            </w:pPr>
            <w:r>
              <w:rPr>
                <w:noProof/>
                <w:lang w:val="es-MX"/>
              </w:rPr>
              <w:t>2</w:t>
            </w:r>
            <w:r w:rsidR="0056142B">
              <w:rPr>
                <w:noProof/>
                <w:lang w:val="es-MX"/>
              </w:rPr>
              <w:t>3</w:t>
            </w:r>
            <w:r w:rsidR="00C829D5" w:rsidRPr="00C42BFD">
              <w:rPr>
                <w:noProof/>
                <w:lang w:val="es-MX"/>
              </w:rPr>
              <w:t>/0</w:t>
            </w:r>
            <w:r w:rsidR="00057342">
              <w:rPr>
                <w:noProof/>
                <w:lang w:val="es-MX"/>
              </w:rPr>
              <w:t>6</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1637BA">
            <w:pPr>
              <w:jc w:val="center"/>
              <w:rPr>
                <w:noProof/>
                <w:lang w:val="en-US"/>
              </w:rPr>
            </w:pPr>
          </w:p>
          <w:p w:rsidR="001637BA" w:rsidRPr="00C42BFD" w:rsidRDefault="00057342" w:rsidP="001637BA">
            <w:pPr>
              <w:jc w:val="center"/>
              <w:rPr>
                <w:noProof/>
                <w:lang w:val="en-US"/>
              </w:rPr>
            </w:pPr>
            <w:r>
              <w:rPr>
                <w:noProof/>
                <w:lang w:val="en-US"/>
              </w:rPr>
              <w:t>2</w:t>
            </w:r>
            <w:r w:rsidR="0056142B">
              <w:rPr>
                <w:noProof/>
                <w:lang w:val="en-US"/>
              </w:rPr>
              <w:t>4</w:t>
            </w:r>
            <w:r w:rsidR="001637BA" w:rsidRPr="00C42BFD">
              <w:rPr>
                <w:noProof/>
                <w:lang w:val="en-US"/>
              </w:rPr>
              <w:t>/0</w:t>
            </w:r>
            <w:r w:rsidR="0056142B">
              <w:rPr>
                <w:noProof/>
                <w:lang w:val="en-US"/>
              </w:rPr>
              <w:t>6</w:t>
            </w:r>
            <w:r w:rsidR="001637BA" w:rsidRPr="00C42BFD">
              <w:rPr>
                <w:noProof/>
                <w:lang w:val="en-US"/>
              </w:rPr>
              <w:t>/2016</w:t>
            </w:r>
          </w:p>
          <w:p w:rsidR="00291224" w:rsidRPr="00C42BFD" w:rsidRDefault="001637BA" w:rsidP="00057342">
            <w:pPr>
              <w:jc w:val="center"/>
              <w:rPr>
                <w:lang w:val="es-MX"/>
              </w:rPr>
            </w:pPr>
            <w:r w:rsidRPr="00C42BFD">
              <w:rPr>
                <w:noProof/>
                <w:lang w:val="en-US"/>
              </w:rPr>
              <w:t>1</w:t>
            </w:r>
            <w:r w:rsidR="00057342">
              <w:rPr>
                <w:noProof/>
                <w:lang w:val="en-US"/>
              </w:rPr>
              <w:t>0</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057342" w:rsidP="00F34E43">
            <w:pPr>
              <w:jc w:val="center"/>
              <w:rPr>
                <w:noProof/>
                <w:lang w:val="en-US"/>
              </w:rPr>
            </w:pPr>
            <w:r>
              <w:rPr>
                <w:noProof/>
                <w:lang w:val="en-US"/>
              </w:rPr>
              <w:t>2</w:t>
            </w:r>
            <w:r w:rsidR="0056142B">
              <w:rPr>
                <w:noProof/>
                <w:lang w:val="en-US"/>
              </w:rPr>
              <w:t>9</w:t>
            </w:r>
            <w:r w:rsidR="002B695B" w:rsidRPr="00C42BFD">
              <w:rPr>
                <w:noProof/>
                <w:lang w:val="en-US"/>
              </w:rPr>
              <w:t>/0</w:t>
            </w:r>
            <w:r w:rsidR="00D1617F">
              <w:rPr>
                <w:noProof/>
                <w:lang w:val="en-US"/>
              </w:rPr>
              <w:t>6</w:t>
            </w:r>
            <w:r w:rsidR="002B695B" w:rsidRPr="00C42BFD">
              <w:rPr>
                <w:noProof/>
                <w:lang w:val="en-US"/>
              </w:rPr>
              <w:t>/201</w:t>
            </w:r>
            <w:r w:rsidR="00EC6BC0" w:rsidRPr="00C42BFD">
              <w:rPr>
                <w:noProof/>
                <w:lang w:val="en-US"/>
              </w:rPr>
              <w:t>6</w:t>
            </w:r>
          </w:p>
          <w:p w:rsidR="00291224" w:rsidRPr="00C42BFD" w:rsidRDefault="00CB06BF" w:rsidP="00057342">
            <w:pPr>
              <w:jc w:val="center"/>
              <w:rPr>
                <w:lang w:val="en-US"/>
              </w:rPr>
            </w:pPr>
            <w:r w:rsidRPr="00C42BFD">
              <w:rPr>
                <w:noProof/>
                <w:lang w:val="en-US"/>
              </w:rPr>
              <w:t>1</w:t>
            </w:r>
            <w:r w:rsidR="00057342">
              <w:rPr>
                <w:noProof/>
                <w:lang w:val="en-US"/>
              </w:rPr>
              <w:t>0</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D1617F" w:rsidP="00F34E43">
            <w:pPr>
              <w:jc w:val="center"/>
              <w:rPr>
                <w:lang w:val="en-US"/>
              </w:rPr>
            </w:pPr>
            <w:r>
              <w:rPr>
                <w:noProof/>
                <w:lang w:val="en-US"/>
              </w:rPr>
              <w:t>0</w:t>
            </w:r>
            <w:r w:rsidR="0056142B">
              <w:rPr>
                <w:noProof/>
                <w:lang w:val="en-US"/>
              </w:rPr>
              <w:t>5</w:t>
            </w:r>
            <w:r w:rsidR="00675E8F" w:rsidRPr="00C42BFD">
              <w:rPr>
                <w:noProof/>
                <w:lang w:val="en-US"/>
              </w:rPr>
              <w:t>/0</w:t>
            </w:r>
            <w:r w:rsidR="00057342">
              <w:rPr>
                <w:noProof/>
                <w:lang w:val="en-US"/>
              </w:rPr>
              <w:t>7</w:t>
            </w:r>
            <w:r w:rsidR="00291224" w:rsidRPr="00C42BFD">
              <w:rPr>
                <w:noProof/>
                <w:lang w:val="en-US"/>
              </w:rPr>
              <w:t>/201</w:t>
            </w:r>
            <w:r w:rsidR="00EC6BC0" w:rsidRPr="00C42BFD">
              <w:rPr>
                <w:noProof/>
                <w:lang w:val="en-US"/>
              </w:rPr>
              <w:t>6</w:t>
            </w:r>
          </w:p>
          <w:p w:rsidR="00291224" w:rsidRPr="00C42BFD" w:rsidRDefault="00CB06BF" w:rsidP="00057342">
            <w:pPr>
              <w:jc w:val="center"/>
              <w:rPr>
                <w:lang w:val="en-US"/>
              </w:rPr>
            </w:pPr>
            <w:r w:rsidRPr="00C42BFD">
              <w:rPr>
                <w:noProof/>
                <w:lang w:val="en-US"/>
              </w:rPr>
              <w:t>1</w:t>
            </w:r>
            <w:r w:rsidR="00057342">
              <w:rPr>
                <w:noProof/>
                <w:lang w:val="en-US"/>
              </w:rPr>
              <w:t>0</w:t>
            </w:r>
            <w:r w:rsidR="00291224" w:rsidRPr="00C42BFD">
              <w:rPr>
                <w:noProof/>
                <w:lang w:val="en-US"/>
              </w:rPr>
              <w:t>:00</w:t>
            </w:r>
            <w:r w:rsidR="00291224"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057342" w:rsidP="00F34E43">
            <w:pPr>
              <w:jc w:val="center"/>
              <w:rPr>
                <w:lang w:val="en-US"/>
              </w:rPr>
            </w:pPr>
            <w:r>
              <w:rPr>
                <w:noProof/>
                <w:lang w:val="en-US"/>
              </w:rPr>
              <w:t>0</w:t>
            </w:r>
            <w:r w:rsidR="0056142B">
              <w:rPr>
                <w:noProof/>
                <w:lang w:val="en-US"/>
              </w:rPr>
              <w:t>8</w:t>
            </w:r>
            <w:r w:rsidR="00291224" w:rsidRPr="00C42BFD">
              <w:rPr>
                <w:noProof/>
                <w:lang w:val="en-US"/>
              </w:rPr>
              <w:t>/0</w:t>
            </w:r>
            <w:r>
              <w:rPr>
                <w:noProof/>
                <w:lang w:val="en-US"/>
              </w:rPr>
              <w:t>7</w:t>
            </w:r>
            <w:r w:rsidR="00291224" w:rsidRPr="00C42BFD">
              <w:rPr>
                <w:noProof/>
                <w:lang w:val="en-US"/>
              </w:rPr>
              <w:t>/201</w:t>
            </w:r>
            <w:r w:rsidR="00EC6BC0" w:rsidRPr="00C42BFD">
              <w:rPr>
                <w:noProof/>
                <w:lang w:val="en-US"/>
              </w:rPr>
              <w:t>6</w:t>
            </w:r>
          </w:p>
          <w:p w:rsidR="00A81F58" w:rsidRPr="00C42BFD" w:rsidRDefault="00291224" w:rsidP="009C057C">
            <w:pPr>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30001133-00</w:t>
            </w:r>
            <w:r>
              <w:rPr>
                <w:noProof/>
              </w:rPr>
              <w:t>8</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57342">
            <w:pPr>
              <w:jc w:val="both"/>
            </w:pPr>
            <w:r w:rsidRPr="00A070C2">
              <w:t>TRABAJOS DE COLOCACIÓN DE REJA PERIMETRAL EN LAS COLONIAS ATLAMAXAC, AVE REAL AMPLIACIÓN (AMPL), BELEN DE LAS FLORES, BOSQUES DE TARANGO, GOLONDRINAS 2DA. SECCIÓN Y LA CONCHITA,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12:00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30001133-00</w:t>
            </w:r>
            <w:r>
              <w:rPr>
                <w:noProof/>
              </w:rPr>
              <w:t>9</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57342">
            <w:pPr>
              <w:jc w:val="both"/>
            </w:pPr>
            <w:r w:rsidRPr="00A070C2">
              <w:t>TRABAJOS DE COLOCACIÓN DE REJA PERIMETRAL EN LAS COLONIAS CANUTILLO PREDIO LA PRESA, LA PRESA SECCIÓN HORNOS, LIBERACIÓN PROLETARIA Y LOMAS DE CAPULA. ASÍ COMO, TRABAJOS DEL CENTRO COMUNAL EN LA COLONIA EMANCIPACIÓN DEL PUEBLO,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980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0</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12:00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BC313C">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10</w:t>
            </w:r>
            <w:r w:rsidRPr="00C42BF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CB5DE1" w:rsidRPr="00A81F58" w:rsidRDefault="00CB5DE1" w:rsidP="00057342">
            <w:pPr>
              <w:jc w:val="both"/>
            </w:pPr>
            <w:r w:rsidRPr="00A070C2">
              <w:t>TRABAJOS DE COLOCACIÓN DE REJA PERIMETRAL EN LAS COLONIAS LOMAS DE GUADALUPE, LOMAS DE LOS ANGELES TETELPAN, LOMAS DE PUERTA GRANDE Y OCHO DE AGOSTO. ASI COMO, LA REHABILITACIÓN DE ESCALERAS EN LA COLONIA CANUTILLO (AGUASCALIENTES), Y TRABAJOS DE REEMPLAZO DE PORTON Y PUERTA PEATONAL EN LA COLONIA TARANGO (RNCDA), TODAS DENTRO DEL PERÍMETRO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BC313C">
        <w:trPr>
          <w:cantSplit/>
          <w:trHeight w:val="432"/>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rPr>
                <w:b/>
              </w:rPr>
            </w:pP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BC313C">
        <w:trPr>
          <w:cantSplit/>
          <w:trHeight w:val="300"/>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pP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3</w:t>
            </w:r>
            <w:r w:rsidRPr="00C42BFD">
              <w:rPr>
                <w:noProof/>
                <w:lang w:val="en-US"/>
              </w:rPr>
              <w:t>:00</w:t>
            </w:r>
            <w:r w:rsidRPr="00C42BFD">
              <w:rPr>
                <w:lang w:val="en-US"/>
              </w:rPr>
              <w:t xml:space="preserve"> HRS</w:t>
            </w:r>
          </w:p>
        </w:tc>
      </w:tr>
      <w:tr w:rsidR="00057342" w:rsidRPr="00C42BFD" w:rsidTr="00BC313C">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4" w:space="0" w:color="auto"/>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4" w:space="0" w:color="auto"/>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11</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57342">
            <w:pPr>
              <w:jc w:val="both"/>
            </w:pPr>
            <w:r w:rsidRPr="00A070C2">
              <w:t>TRABAJOS DE COLOCACIÓN DE REJA PERIMETRAL EN LAS COLONIAS PRESIDENTES 1RA. AMPL., TEJOCOTE, TEPEACA, UNIDAD POPULAR TEPEACA Y VILLA SOLIDARIDAD. ASÍ COMO, CONSTRUCCIÓN DE BARDA PERIMETRAL EN LA COLONIA 26 DE JULIO,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3</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12</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65F47">
            <w:pPr>
              <w:jc w:val="both"/>
            </w:pPr>
            <w:r w:rsidRPr="00A070C2">
              <w:t>TRABAJOS DE</w:t>
            </w:r>
            <w:r>
              <w:t>:</w:t>
            </w:r>
            <w:r w:rsidRPr="00A070C2">
              <w:t xml:space="preserve"> CONSTRUCCIÓN DE CASETA DE VIGILANCIA EN LA COLONIA COOPERATIVA CEHUAYO; REHABILITACIÓN Y MANTENIMIENTO DE PUERTA DE ACCESO Y CASETA DE VIGILANCIA EN LA COLONIA VILLA VERDUM; CONSTRUCCIÓN DE CANCHA DE FUTBOL RÁPIDO EN LA COLONIA ACUEDUCTO; MANTENIMIENTO DE LA CANCHA DE FUTBOL DEL PARQUE DE LA CURVA EN LA COLONIA ARTURO MARTÍNEZ; REHABILITACIÓN DE LA CANCHA DEPORTIVA EN LA COLONIA MARÍA G. DE GARCÍA RUIZ; REHABILITACIÓN Y MANTENIMIENTO DEL CENTRO SOCIAL EN LA COLONIA JALALPA; Y MANTENIMIENTO DEL CENTRO DE DESARROLLO SOCIAL PRIMERA ETAPA EN LA COLONIA PODER POPULAR;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380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3</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13</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65F47">
            <w:pPr>
              <w:jc w:val="both"/>
            </w:pPr>
            <w:r w:rsidRPr="00A070C2">
              <w:t xml:space="preserve">TRABAJOS </w:t>
            </w:r>
            <w:proofErr w:type="gramStart"/>
            <w:r w:rsidRPr="00A070C2">
              <w:t>DE</w:t>
            </w:r>
            <w:r>
              <w:t xml:space="preserve"> :</w:t>
            </w:r>
            <w:proofErr w:type="gramEnd"/>
            <w:r w:rsidRPr="00A070C2">
              <w:t xml:space="preserve"> REHABILITACIÓN DE BANQUETAS Y GUARNICIONES EN LAS COLONIAS ALPES (AMPL.), JALALPA (AMPL.), ARVIDE Y 2DA. JALALPA TEPITO (AMPL.); BANQUETAS Y ESCALERAS EN CALLE 1 Y 2, NIVELACIÓN DE TERRENO Y JARDÍN EN CALLE PRINCIPAL Y CALLE 4, EN LA COLONIA ARTURO GAMIZ; REHABILITACIÓN DE BANQUETAS E INTERSECCIONES SEGURAS Y BALIZAMIENTO EN LA COLONIA GUADALUPE INN. ASI COMO, TRABAJOS DE; PAVIMENTACIÓN EN LA CALLE MANTUANOS Y CALLE ABRUZOS EN LA COLONIA ABRAHAM GONZÁLEZ; PAVIMENTACIÓN EN LA COLONIA ACUILOTLA; REHABILITACIÓN DE LA ENTRADA DE LA COLONIA ARBOLEDAS POLITOCO; BACHEO (EMPEDRADO) EN LA COLONIA ATLAMAYA; PAVIMENTACIÓN 1RA. ETAPA EN LA COLONIA AXOTLA; Y REPAVIMENTACIÓN EN CALLE FLOR DE LIZ, EN LA COLONIA LOS CEDROS;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2</w:t>
            </w:r>
            <w:r w:rsidRPr="00B04BC4">
              <w:rPr>
                <w:noProof/>
              </w:rPr>
              <w:t>,</w:t>
            </w:r>
            <w:r>
              <w:rPr>
                <w:noProof/>
              </w:rPr>
              <w:t>350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2</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14</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65F47">
            <w:pPr>
              <w:jc w:val="both"/>
            </w:pPr>
            <w:r w:rsidRPr="00A070C2">
              <w:t xml:space="preserve">TRABAJOS </w:t>
            </w:r>
            <w:proofErr w:type="gramStart"/>
            <w:r w:rsidRPr="00A070C2">
              <w:t>DE</w:t>
            </w:r>
            <w:r>
              <w:t xml:space="preserve"> :</w:t>
            </w:r>
            <w:proofErr w:type="gramEnd"/>
            <w:r w:rsidRPr="00A070C2">
              <w:t xml:space="preserve"> REHABILITACIÓN DE BANQUETAS Y GUARNICIONES EN LA COLONIA BA</w:t>
            </w:r>
            <w:r>
              <w:t>LCONES</w:t>
            </w:r>
            <w:r w:rsidRPr="00A070C2">
              <w:t xml:space="preserve"> DE CEHUAYO; REHABILITACIÓN DE ESCALINATAS EN LA CALLE SAN MIGUEL DE LA COLONIA CORPUS CHRISTY AMPL. XOCOMECATLA; COLOCACIÓN DE BARANDALES Y PASAMANOS DE LA COLONIA EL CAPULÍN (AMPL.); REHABILITACIÓN DE ESCALINATAS EN LA COLONIA EL PIRUL; REHABILITACIÓN DE ANDADOR Y COLOCACIÓN DE BARANDAL EN LA COLONIA EL RUEDO; Y REPAVIMENTACIÓN EN LA BAJADA TECALCAPA EN LA COLONIA EL MIRADOR;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15</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57342">
            <w:pPr>
              <w:jc w:val="both"/>
            </w:pPr>
            <w:r w:rsidRPr="00A070C2">
              <w:t>TRABAJOS DE REHABILITACIÓN DE ESCALINATAS Y COLOCACIÓN DE BARANDAL EN LAS COLONIAS DESARROLLO URBANO, GOLONDRINAS, LA ARAÑA, LA CASCADA Y LOMAS DE LA ERA. ASI COMO, COLOCACIÓN DE BARANDALES EN LA COLONIA MIGUEL GAONA ARMENTA,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4</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16</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57342">
            <w:pPr>
              <w:jc w:val="both"/>
            </w:pPr>
            <w:r w:rsidRPr="00A070C2">
              <w:t>REPARACIÓN DE BANQUETAS EN LA COLONIA HERÓN PROAL. ASI COMO, REHABILITACIÓN DE BANQUETAS Y GUARNICIONES EN LAS COLONIAS JALALPA EL GRANDE, JALALPA TEPITO, JARDINES DEL PEDREGAL, LA MARTINICA Y PUENTE COLORADO,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5</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BC313C">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17</w:t>
            </w:r>
            <w:r w:rsidRPr="00C42BF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CB5DE1" w:rsidRPr="00A81F58" w:rsidRDefault="00CB5DE1" w:rsidP="00065F47">
            <w:pPr>
              <w:jc w:val="both"/>
            </w:pPr>
            <w:r w:rsidRPr="00A070C2">
              <w:t>TRABAJOS DE</w:t>
            </w:r>
            <w:r>
              <w:t xml:space="preserve"> :</w:t>
            </w:r>
            <w:r w:rsidRPr="00A070C2">
              <w:t xml:space="preserve"> INSTALACIÓN DE PASAMANOS Y BARANDAL EN LA COLONIA HOGAR Y REDENCIÓN; COLOCACIÓN DE BARANDALES EN LA COLONIA LOMAS DE BECERRA; REHABILITACIÓN DE ESCALINATAS EN LA COLONIA MIGUEL HIDALGO; REHABILITACIÓN DE ESCALINATAS Y COLOCACIÓN DE BARANDAL EN LA COLONIA OCOTILLOS; COLOCACIÓN DE BARANDALES O PASAMANOS EN LAS COLONIAS SAN CLEMENTE Y OLIVAR DEL CONDE 2DA. SECCIÓN II; TODAS DENTRO DEL PERÍMETRO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CB5DE1" w:rsidRPr="00C42BFD" w:rsidRDefault="00CB5DE1" w:rsidP="00A070C2">
            <w:pPr>
              <w:jc w:val="center"/>
              <w:rPr>
                <w:highlight w:val="yellow"/>
              </w:rPr>
            </w:pPr>
            <w:r w:rsidRPr="00B04BC4">
              <w:rPr>
                <w:noProof/>
              </w:rPr>
              <w:t>$</w:t>
            </w:r>
            <w:r>
              <w:rPr>
                <w:noProof/>
              </w:rPr>
              <w:t>1</w:t>
            </w:r>
            <w:r w:rsidRPr="00B04BC4">
              <w:rPr>
                <w:noProof/>
              </w:rPr>
              <w:t>,</w:t>
            </w:r>
            <w:r>
              <w:rPr>
                <w:noProof/>
              </w:rPr>
              <w:t>180</w:t>
            </w:r>
            <w:r w:rsidRPr="00B04BC4">
              <w:rPr>
                <w:noProof/>
              </w:rPr>
              <w:t>,</w:t>
            </w:r>
            <w:r>
              <w:rPr>
                <w:noProof/>
              </w:rPr>
              <w:t>000</w:t>
            </w:r>
            <w:r w:rsidRPr="00B04BC4">
              <w:rPr>
                <w:noProof/>
              </w:rPr>
              <w:t>.</w:t>
            </w:r>
            <w:r>
              <w:rPr>
                <w:noProof/>
              </w:rPr>
              <w:t>00</w:t>
            </w:r>
          </w:p>
        </w:tc>
      </w:tr>
      <w:tr w:rsidR="00057342" w:rsidRPr="00C42BFD" w:rsidTr="00BC313C">
        <w:trPr>
          <w:cantSplit/>
          <w:trHeight w:val="432"/>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rPr>
                <w:b/>
              </w:rPr>
            </w:pP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BC313C">
        <w:trPr>
          <w:cantSplit/>
          <w:trHeight w:val="300"/>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pP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4</w:t>
            </w:r>
            <w:r w:rsidRPr="00C42BFD">
              <w:rPr>
                <w:noProof/>
                <w:lang w:val="en-US"/>
              </w:rPr>
              <w:t>:00</w:t>
            </w:r>
            <w:r w:rsidRPr="00C42BFD">
              <w:rPr>
                <w:lang w:val="en-US"/>
              </w:rPr>
              <w:t xml:space="preserve"> HRS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56142B">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5</w:t>
            </w:r>
            <w:r w:rsidRPr="00C42BFD">
              <w:rPr>
                <w:noProof/>
                <w:lang w:val="en-US"/>
              </w:rPr>
              <w:t>:00</w:t>
            </w:r>
            <w:r w:rsidRPr="00C42BFD">
              <w:rPr>
                <w:lang w:val="en-US"/>
              </w:rPr>
              <w:t xml:space="preserve"> HRS</w:t>
            </w:r>
          </w:p>
        </w:tc>
      </w:tr>
      <w:tr w:rsidR="00057342" w:rsidRPr="00C42BFD" w:rsidTr="00BC313C">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4" w:space="0" w:color="auto"/>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4" w:space="0" w:color="auto"/>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057342">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057342">
            <w:pPr>
              <w:jc w:val="center"/>
            </w:pPr>
            <w:r w:rsidRPr="00C42BFD">
              <w:rPr>
                <w:noProof/>
              </w:rPr>
              <w:t>30001133-0</w:t>
            </w:r>
            <w:r>
              <w:rPr>
                <w:noProof/>
              </w:rPr>
              <w:t>18</w:t>
            </w:r>
            <w:r w:rsidRPr="00C42BF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CB5DE1" w:rsidRPr="00A81F58" w:rsidRDefault="00CB5DE1" w:rsidP="00065F47">
            <w:pPr>
              <w:jc w:val="both"/>
            </w:pPr>
            <w:r w:rsidRPr="00BC313C">
              <w:t>TRABAJOS DE</w:t>
            </w:r>
            <w:r>
              <w:t>:</w:t>
            </w:r>
            <w:r w:rsidRPr="00BC313C">
              <w:t xml:space="preserve"> PAVIMENTACIÓN EN CALLE NOCHE BUENA EN LA COLONIA BELEN DE LAS FLORES SECCIÓN RELLENO; PAVIMENTACIÓN 1RA. ETAPA EN LA COLONIA BONANZA; PAVIME</w:t>
            </w:r>
            <w:r>
              <w:t>N</w:t>
            </w:r>
            <w:r w:rsidRPr="00BC313C">
              <w:t>TACIÓN EN LAS COLONIAS CAMPO DE TIRO LOS GAMITOS, EL BOSQUE, CAPULÍN Y LA HUERTA; PAVIMENTACIÓN EN CALLE PROLONGACIÓN SAN FRANCISCO EN LA COLONIA CORPUS CHRISTY; CONTINUACIÓN DE PAVIMENTO EN LA COLONIA EL BOSQUE 2DA. SECCIÓN (AMPL.); BACHEO DE EMPEDRADO EN LA COLONIA LOMAS DE SANTA FE; CAMBIO DE PAVIMENTO POR CONCRETO HIDRÁULICO EN LA COLONIA MINAS DE CRISTO; TERMINACIÓN DE CONCRETO HIDRÁULICO EN LA COLONIA PALMAS AXOTITLA; CAMBIO DE CONCRETO HIDRÁULICO EN LA COLONIA PRADOS PROVIDENCIA; Y SUSTITUCIÓN DE CONCRETO HIDRÁULICO EN LA COLONIA UNIÓN OLIVOS; TODAS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BC313C">
            <w:pPr>
              <w:jc w:val="center"/>
              <w:rPr>
                <w:highlight w:val="yellow"/>
              </w:rPr>
            </w:pPr>
            <w:r w:rsidRPr="00B04BC4">
              <w:rPr>
                <w:noProof/>
              </w:rPr>
              <w:t>$</w:t>
            </w:r>
            <w:r>
              <w:rPr>
                <w:noProof/>
              </w:rPr>
              <w:t>2</w:t>
            </w:r>
            <w:r w:rsidRPr="00B04BC4">
              <w:rPr>
                <w:noProof/>
              </w:rPr>
              <w:t>,</w:t>
            </w:r>
            <w:r>
              <w:rPr>
                <w:noProof/>
              </w:rPr>
              <w:t>550</w:t>
            </w:r>
            <w:r w:rsidRPr="00B04BC4">
              <w:rPr>
                <w:noProof/>
              </w:rPr>
              <w:t>,</w:t>
            </w:r>
            <w:r>
              <w:rPr>
                <w:noProof/>
              </w:rPr>
              <w:t>000</w:t>
            </w:r>
            <w:r w:rsidRPr="00B04BC4">
              <w:rPr>
                <w:noProof/>
              </w:rPr>
              <w:t>.</w:t>
            </w:r>
            <w:r>
              <w:rPr>
                <w:noProof/>
              </w:rPr>
              <w:t>00</w:t>
            </w:r>
          </w:p>
        </w:tc>
      </w:tr>
      <w:tr w:rsidR="00057342" w:rsidRPr="00C42BFD" w:rsidTr="00057342">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057342">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057342" w:rsidRPr="00C42BFD" w:rsidRDefault="00057342" w:rsidP="00057342">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342" w:rsidRPr="00C42BFD" w:rsidRDefault="00057342" w:rsidP="0056142B">
            <w:pPr>
              <w:jc w:val="center"/>
              <w:rPr>
                <w:highlight w:val="yellow"/>
                <w:lang w:val="es-MX"/>
              </w:rPr>
            </w:pPr>
            <w:r>
              <w:rPr>
                <w:noProof/>
                <w:lang w:val="es-MX"/>
              </w:rPr>
              <w:t>2</w:t>
            </w:r>
            <w:r w:rsidR="0056142B">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4</w:t>
            </w:r>
            <w:r w:rsidRPr="00C42BFD">
              <w:rPr>
                <w:noProof/>
                <w:lang w:val="en-US"/>
              </w:rPr>
              <w:t>/0</w:t>
            </w:r>
            <w:r w:rsidR="0056142B">
              <w:rPr>
                <w:noProof/>
                <w:lang w:val="en-US"/>
              </w:rPr>
              <w:t>6</w:t>
            </w:r>
            <w:r w:rsidRPr="00C42BFD">
              <w:rPr>
                <w:noProof/>
                <w:lang w:val="en-US"/>
              </w:rPr>
              <w:t>/2016</w:t>
            </w:r>
          </w:p>
          <w:p w:rsidR="00057342" w:rsidRPr="00C42BFD" w:rsidRDefault="00057342" w:rsidP="00065F47">
            <w:pPr>
              <w:jc w:val="center"/>
              <w:rPr>
                <w:lang w:val="es-MX"/>
              </w:rPr>
            </w:pPr>
            <w:r w:rsidRPr="00C42BFD">
              <w:rPr>
                <w:noProof/>
                <w:lang w:val="en-US"/>
              </w:rPr>
              <w:t>1</w:t>
            </w:r>
            <w:r w:rsidR="00065F47">
              <w:rPr>
                <w:noProof/>
                <w:lang w:val="en-US"/>
              </w:rPr>
              <w:t>6</w:t>
            </w:r>
            <w:r w:rsidRPr="00C42BFD">
              <w:rPr>
                <w:noProof/>
                <w:lang w:val="en-US"/>
              </w:rPr>
              <w:t>:00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56142B">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EC663A">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EC663A">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5</w:t>
            </w:r>
            <w:r w:rsidRPr="00C42BFD">
              <w:rPr>
                <w:noProof/>
                <w:lang w:val="en-US"/>
              </w:rPr>
              <w:t>:00</w:t>
            </w:r>
            <w:r w:rsidRPr="00C42BFD">
              <w:rPr>
                <w:lang w:val="en-US"/>
              </w:rPr>
              <w:t xml:space="preserve"> HRS</w:t>
            </w:r>
          </w:p>
        </w:tc>
      </w:tr>
      <w:tr w:rsidR="00057342" w:rsidRPr="00C42BFD" w:rsidTr="00057342">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keepNext/>
              <w:jc w:val="center"/>
              <w:outlineLvl w:val="2"/>
              <w:rPr>
                <w:b/>
              </w:rPr>
            </w:pPr>
          </w:p>
          <w:p w:rsidR="00057342" w:rsidRDefault="00057342" w:rsidP="00057342">
            <w:pPr>
              <w:keepNext/>
              <w:jc w:val="center"/>
              <w:outlineLvl w:val="2"/>
              <w:rPr>
                <w:b/>
              </w:rPr>
            </w:pPr>
            <w:r w:rsidRPr="00C42BFD">
              <w:rPr>
                <w:b/>
              </w:rPr>
              <w:t>No. de Licitación</w:t>
            </w:r>
          </w:p>
          <w:p w:rsidR="00057342" w:rsidRPr="00C42BFD" w:rsidRDefault="00057342" w:rsidP="00057342">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057342" w:rsidRDefault="00057342" w:rsidP="00057342">
            <w:pPr>
              <w:jc w:val="center"/>
              <w:rPr>
                <w:b/>
              </w:rPr>
            </w:pPr>
            <w:r w:rsidRPr="00C42BFD">
              <w:rPr>
                <w:b/>
              </w:rPr>
              <w:t>Fecha estimada de</w:t>
            </w:r>
          </w:p>
          <w:p w:rsidR="00057342" w:rsidRPr="00C42BFD" w:rsidRDefault="00057342" w:rsidP="00057342">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057342" w:rsidRPr="00C42BFD" w:rsidRDefault="00057342" w:rsidP="00057342">
            <w:pPr>
              <w:jc w:val="center"/>
              <w:rPr>
                <w:b/>
              </w:rPr>
            </w:pPr>
            <w:r w:rsidRPr="00C42BFD">
              <w:rPr>
                <w:b/>
              </w:rPr>
              <w:t>Capital contable</w:t>
            </w:r>
          </w:p>
          <w:p w:rsidR="00057342" w:rsidRDefault="00057342" w:rsidP="00057342">
            <w:pPr>
              <w:jc w:val="center"/>
              <w:rPr>
                <w:b/>
              </w:rPr>
            </w:pPr>
            <w:r w:rsidRPr="00C42BFD">
              <w:rPr>
                <w:b/>
              </w:rPr>
              <w:t>Requerido</w:t>
            </w:r>
          </w:p>
          <w:p w:rsidR="00057342" w:rsidRPr="00C42BFD" w:rsidRDefault="00057342" w:rsidP="00057342">
            <w:pPr>
              <w:jc w:val="center"/>
              <w:rPr>
                <w:b/>
              </w:rPr>
            </w:pPr>
          </w:p>
        </w:tc>
      </w:tr>
      <w:tr w:rsidR="00057342" w:rsidRPr="00C42BFD" w:rsidTr="00057342">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057342" w:rsidRPr="00C42BFD" w:rsidRDefault="00057342" w:rsidP="00057342">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057342" w:rsidRPr="00C42BFD" w:rsidRDefault="00057342" w:rsidP="00057342">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057342" w:rsidRPr="00C42BFD" w:rsidRDefault="00057342" w:rsidP="00057342">
            <w:pPr>
              <w:jc w:val="center"/>
              <w:rPr>
                <w:b/>
                <w:highlight w:val="yellow"/>
              </w:rPr>
            </w:pPr>
          </w:p>
        </w:tc>
      </w:tr>
      <w:tr w:rsidR="00CB5DE1" w:rsidRPr="00C42BFD" w:rsidTr="00BC313C">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B5DE1" w:rsidRPr="00C42BFD" w:rsidRDefault="00CB5DE1" w:rsidP="002F1977">
            <w:pPr>
              <w:jc w:val="center"/>
            </w:pPr>
            <w:r w:rsidRPr="00C42BFD">
              <w:rPr>
                <w:noProof/>
              </w:rPr>
              <w:t>30001133-0</w:t>
            </w:r>
            <w:r>
              <w:rPr>
                <w:noProof/>
              </w:rPr>
              <w:t>19</w:t>
            </w:r>
            <w:r w:rsidRPr="00C42BF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CB5DE1" w:rsidRPr="00A81F58" w:rsidRDefault="00CB5DE1" w:rsidP="00057342">
            <w:pPr>
              <w:jc w:val="both"/>
            </w:pPr>
            <w:r w:rsidRPr="00BC313C">
              <w:t>TRABAJOS DE; PAVIMENTACIÓN EN LAS COLONIAS PUEBLO DE SAN BARTOLO AMEYALCO, SAN PEDRO DE LOS PINOS, TETELPAN Y TLACOYAQUE (AMPL.); REPAVIMENTACIÓN CON CONCRETO HIDRÁULICO EN LA COLONIA TEPEACA (AMPL.) Y TLACOYAQUE BARRIO; Y REHABILITACIÓN DE CONCRETO HIDRÁULICO EN LA CALLE CAMINO REAL A TOLUCA DE LA COLONIA SANTA FE KM 8.5.; TODAS DENTRO DEL PERÍMETRO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rPr>
                <w:lang w:val="es-MX"/>
              </w:rPr>
            </w:pPr>
            <w:r>
              <w:rPr>
                <w:noProof/>
                <w:lang w:val="es-MX"/>
              </w:rPr>
              <w:t>12</w:t>
            </w:r>
            <w:r w:rsidRPr="00C42BFD">
              <w:rPr>
                <w:noProof/>
                <w:lang w:val="es-MX"/>
              </w:rPr>
              <w:t>/0</w:t>
            </w:r>
            <w:r>
              <w:rPr>
                <w:noProof/>
                <w:lang w:val="es-MX"/>
              </w:rPr>
              <w:t>7</w:t>
            </w:r>
            <w:r w:rsidRPr="00C42BF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CB5DE1" w:rsidRPr="00C42BFD" w:rsidRDefault="00CB5DE1" w:rsidP="00BC59C5">
            <w:pPr>
              <w:jc w:val="center"/>
            </w:pPr>
            <w:r>
              <w:rPr>
                <w:noProof/>
              </w:rPr>
              <w:t>31</w:t>
            </w:r>
            <w:r w:rsidRPr="00C42BFD">
              <w:rPr>
                <w:noProof/>
              </w:rPr>
              <w:t>/</w:t>
            </w:r>
            <w:r>
              <w:rPr>
                <w:noProof/>
              </w:rPr>
              <w:t>08</w:t>
            </w:r>
            <w:r w:rsidRPr="00C42BFD">
              <w:rPr>
                <w:noProof/>
              </w:rPr>
              <w:t>/2016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CB5DE1" w:rsidRPr="00C42BFD" w:rsidRDefault="00CB5DE1" w:rsidP="00BC313C">
            <w:pPr>
              <w:jc w:val="center"/>
              <w:rPr>
                <w:highlight w:val="yellow"/>
              </w:rPr>
            </w:pPr>
            <w:r w:rsidRPr="00B04BC4">
              <w:rPr>
                <w:noProof/>
              </w:rPr>
              <w:t>$</w:t>
            </w:r>
            <w:r>
              <w:rPr>
                <w:noProof/>
              </w:rPr>
              <w:t>1</w:t>
            </w:r>
            <w:r w:rsidRPr="00B04BC4">
              <w:rPr>
                <w:noProof/>
              </w:rPr>
              <w:t>,</w:t>
            </w:r>
            <w:r>
              <w:rPr>
                <w:noProof/>
              </w:rPr>
              <w:t>380</w:t>
            </w:r>
            <w:r w:rsidRPr="00B04BC4">
              <w:rPr>
                <w:noProof/>
              </w:rPr>
              <w:t>,</w:t>
            </w:r>
            <w:r>
              <w:rPr>
                <w:noProof/>
              </w:rPr>
              <w:t>000</w:t>
            </w:r>
            <w:r w:rsidRPr="00B04BC4">
              <w:rPr>
                <w:noProof/>
              </w:rPr>
              <w:t>.</w:t>
            </w:r>
            <w:r>
              <w:rPr>
                <w:noProof/>
              </w:rPr>
              <w:t>00</w:t>
            </w:r>
          </w:p>
        </w:tc>
      </w:tr>
      <w:tr w:rsidR="00057342" w:rsidRPr="00C42BFD" w:rsidTr="00BC313C">
        <w:trPr>
          <w:cantSplit/>
          <w:trHeight w:val="432"/>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rPr>
                <w:b/>
              </w:rPr>
            </w:pP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057342">
            <w:pPr>
              <w:jc w:val="center"/>
              <w:rPr>
                <w:b/>
              </w:rPr>
            </w:pPr>
            <w:r w:rsidRPr="00C42BFD">
              <w:rPr>
                <w:b/>
              </w:rPr>
              <w:t>Costo de las bases</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Fecha límite para</w:t>
            </w:r>
          </w:p>
          <w:p w:rsidR="00057342" w:rsidRPr="00C42BFD" w:rsidRDefault="00057342" w:rsidP="00057342">
            <w:pPr>
              <w:jc w:val="center"/>
              <w:rPr>
                <w:b/>
              </w:rPr>
            </w:pPr>
            <w:r w:rsidRPr="00C42BFD">
              <w:rPr>
                <w:b/>
              </w:rPr>
              <w:t>adquirir bases</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Visita al lugar de la</w:t>
            </w:r>
          </w:p>
          <w:p w:rsidR="00057342" w:rsidRPr="00C42BFD" w:rsidRDefault="00057342" w:rsidP="00057342">
            <w:pPr>
              <w:jc w:val="center"/>
              <w:rPr>
                <w:b/>
              </w:rPr>
            </w:pPr>
            <w:r w:rsidRPr="00C42BFD">
              <w:rPr>
                <w:b/>
              </w:rPr>
              <w:t>obra o los trabajos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Junta de</w:t>
            </w:r>
          </w:p>
          <w:p w:rsidR="00057342" w:rsidRPr="00C42BFD" w:rsidRDefault="00057342" w:rsidP="00057342">
            <w:pPr>
              <w:jc w:val="center"/>
              <w:rPr>
                <w:b/>
              </w:rPr>
            </w:pPr>
            <w:r w:rsidRPr="00C42BFD">
              <w:rPr>
                <w:b/>
              </w:rPr>
              <w:t>aclaraciones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b/>
              </w:rPr>
            </w:pPr>
          </w:p>
          <w:p w:rsidR="00057342" w:rsidRPr="00C42BFD" w:rsidRDefault="00057342" w:rsidP="00057342">
            <w:pPr>
              <w:jc w:val="center"/>
              <w:rPr>
                <w:b/>
              </w:rPr>
            </w:pPr>
            <w:r w:rsidRPr="00C42BFD">
              <w:rPr>
                <w:b/>
              </w:rPr>
              <w:t>Presentación y apertura de sobre único</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keepNext/>
              <w:jc w:val="center"/>
              <w:outlineLvl w:val="2"/>
              <w:rPr>
                <w:b/>
              </w:rPr>
            </w:pPr>
          </w:p>
          <w:p w:rsidR="00057342" w:rsidRPr="00C42BFD" w:rsidRDefault="00057342" w:rsidP="00057342">
            <w:pPr>
              <w:keepNext/>
              <w:jc w:val="center"/>
              <w:outlineLvl w:val="2"/>
              <w:rPr>
                <w:b/>
              </w:rPr>
            </w:pPr>
            <w:r w:rsidRPr="00C42BFD">
              <w:rPr>
                <w:b/>
              </w:rPr>
              <w:t>Fallo</w:t>
            </w:r>
          </w:p>
        </w:tc>
      </w:tr>
      <w:tr w:rsidR="00057342" w:rsidRPr="00C42BFD" w:rsidTr="00BC313C">
        <w:trPr>
          <w:cantSplit/>
          <w:trHeight w:val="300"/>
        </w:trPr>
        <w:tc>
          <w:tcPr>
            <w:tcW w:w="1607" w:type="dxa"/>
            <w:vMerge/>
            <w:tcBorders>
              <w:left w:val="single" w:sz="6" w:space="0" w:color="000000"/>
              <w:bottom w:val="single" w:sz="6" w:space="0" w:color="000000"/>
              <w:right w:val="single" w:sz="4" w:space="0" w:color="auto"/>
            </w:tcBorders>
            <w:shd w:val="clear" w:color="auto" w:fill="auto"/>
          </w:tcPr>
          <w:p w:rsidR="00057342" w:rsidRPr="00C42BFD" w:rsidRDefault="00057342" w:rsidP="00057342">
            <w:pPr>
              <w:jc w:val="center"/>
            </w:pP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pPr>
          </w:p>
          <w:p w:rsidR="00057342" w:rsidRPr="00C42BFD" w:rsidRDefault="00057342" w:rsidP="00057342">
            <w:pPr>
              <w:jc w:val="center"/>
            </w:pPr>
            <w:r w:rsidRPr="00C42BFD">
              <w:t>$2,700.00</w:t>
            </w:r>
          </w:p>
          <w:p w:rsidR="00057342" w:rsidRPr="00C42BFD" w:rsidRDefault="00057342" w:rsidP="00057342">
            <w:pPr>
              <w:jc w:val="cente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057342" w:rsidRPr="00C42BFD" w:rsidRDefault="00057342" w:rsidP="00EC663A">
            <w:pPr>
              <w:jc w:val="center"/>
              <w:rPr>
                <w:highlight w:val="yellow"/>
                <w:lang w:val="es-MX"/>
              </w:rPr>
            </w:pPr>
            <w:r>
              <w:rPr>
                <w:noProof/>
                <w:lang w:val="es-MX"/>
              </w:rPr>
              <w:t>2</w:t>
            </w:r>
            <w:r w:rsidR="00EC663A">
              <w:rPr>
                <w:noProof/>
                <w:lang w:val="es-MX"/>
              </w:rPr>
              <w:t>3</w:t>
            </w:r>
            <w:r w:rsidRPr="00C42BFD">
              <w:rPr>
                <w:noProof/>
                <w:lang w:val="es-MX"/>
              </w:rPr>
              <w:t>/0</w:t>
            </w:r>
            <w:r>
              <w:rPr>
                <w:noProof/>
                <w:lang w:val="es-MX"/>
              </w:rPr>
              <w:t>6</w:t>
            </w:r>
            <w:r w:rsidRPr="00C42BFD">
              <w:rPr>
                <w:noProof/>
                <w:lang w:val="es-MX"/>
              </w:rPr>
              <w:t>/2016</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EC663A">
              <w:rPr>
                <w:noProof/>
                <w:lang w:val="en-US"/>
              </w:rPr>
              <w:t>4</w:t>
            </w:r>
            <w:r w:rsidRPr="00C42BFD">
              <w:rPr>
                <w:noProof/>
                <w:lang w:val="en-US"/>
              </w:rPr>
              <w:t>/0</w:t>
            </w:r>
            <w:r w:rsidR="00EC663A">
              <w:rPr>
                <w:noProof/>
                <w:lang w:val="en-US"/>
              </w:rPr>
              <w:t>6</w:t>
            </w:r>
            <w:r w:rsidRPr="00C42BFD">
              <w:rPr>
                <w:noProof/>
                <w:lang w:val="en-US"/>
              </w:rPr>
              <w:t>/2016</w:t>
            </w:r>
          </w:p>
          <w:p w:rsidR="00057342" w:rsidRPr="00C42BFD" w:rsidRDefault="00057342" w:rsidP="00057342">
            <w:pPr>
              <w:jc w:val="center"/>
              <w:rPr>
                <w:lang w:val="es-MX"/>
              </w:rPr>
            </w:pPr>
            <w:r w:rsidRPr="00C42BFD">
              <w:rPr>
                <w:noProof/>
                <w:lang w:val="en-US"/>
              </w:rPr>
              <w:t>1</w:t>
            </w:r>
            <w:r>
              <w:rPr>
                <w:noProof/>
                <w:lang w:val="en-US"/>
              </w:rPr>
              <w:t>6</w:t>
            </w:r>
            <w:r w:rsidRPr="00C42BFD">
              <w:rPr>
                <w:noProof/>
                <w:lang w:val="en-US"/>
              </w:rPr>
              <w:t>:00</w:t>
            </w:r>
            <w:r w:rsidRPr="00C42BFD">
              <w:rPr>
                <w:lang w:val="en-US"/>
              </w:rPr>
              <w:t xml:space="preserve"> HRS</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noProof/>
                <w:lang w:val="en-US"/>
              </w:rPr>
            </w:pPr>
            <w:r>
              <w:rPr>
                <w:noProof/>
                <w:lang w:val="en-US"/>
              </w:rPr>
              <w:t>2</w:t>
            </w:r>
            <w:r w:rsidR="00EC663A">
              <w:rPr>
                <w:noProof/>
                <w:lang w:val="en-US"/>
              </w:rPr>
              <w:t>9</w:t>
            </w:r>
            <w:r w:rsidRPr="00C42BFD">
              <w:rPr>
                <w:noProof/>
                <w:lang w:val="en-US"/>
              </w:rPr>
              <w:t>/0</w:t>
            </w:r>
            <w:r>
              <w:rPr>
                <w:noProof/>
                <w:lang w:val="en-US"/>
              </w:rPr>
              <w:t>6</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8</w:t>
            </w:r>
            <w:r w:rsidRPr="00C42BFD">
              <w:rPr>
                <w:noProof/>
                <w:lang w:val="en-US"/>
              </w:rPr>
              <w:t>:00</w:t>
            </w:r>
            <w:r w:rsidRPr="00C42BFD">
              <w:rPr>
                <w:lang w:val="en-US"/>
              </w:rPr>
              <w:t xml:space="preserve"> HRS</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EC663A">
              <w:rPr>
                <w:noProof/>
                <w:lang w:val="en-US"/>
              </w:rPr>
              <w:t>5</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8</w:t>
            </w:r>
            <w:r w:rsidRPr="00C42BFD">
              <w:rPr>
                <w:noProof/>
                <w:lang w:val="en-US"/>
              </w:rPr>
              <w:t>:00</w:t>
            </w:r>
            <w:r w:rsidRPr="00C42BFD">
              <w:rPr>
                <w:lang w:val="en-US"/>
              </w:rPr>
              <w:t xml:space="preserve"> HRS</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057342" w:rsidRDefault="00057342" w:rsidP="00057342">
            <w:pPr>
              <w:jc w:val="center"/>
              <w:rPr>
                <w:noProof/>
                <w:lang w:val="en-US"/>
              </w:rPr>
            </w:pPr>
          </w:p>
          <w:p w:rsidR="00057342" w:rsidRPr="00C42BFD" w:rsidRDefault="00057342" w:rsidP="00057342">
            <w:pPr>
              <w:jc w:val="center"/>
              <w:rPr>
                <w:lang w:val="en-US"/>
              </w:rPr>
            </w:pPr>
            <w:r>
              <w:rPr>
                <w:noProof/>
                <w:lang w:val="en-US"/>
              </w:rPr>
              <w:t>0</w:t>
            </w:r>
            <w:r w:rsidR="00EC663A">
              <w:rPr>
                <w:noProof/>
                <w:lang w:val="en-US"/>
              </w:rPr>
              <w:t>8</w:t>
            </w:r>
            <w:r w:rsidRPr="00C42BFD">
              <w:rPr>
                <w:noProof/>
                <w:lang w:val="en-US"/>
              </w:rPr>
              <w:t>/0</w:t>
            </w:r>
            <w:r>
              <w:rPr>
                <w:noProof/>
                <w:lang w:val="en-US"/>
              </w:rPr>
              <w:t>7</w:t>
            </w:r>
            <w:r w:rsidRPr="00C42BFD">
              <w:rPr>
                <w:noProof/>
                <w:lang w:val="en-US"/>
              </w:rPr>
              <w:t>/2016</w:t>
            </w:r>
          </w:p>
          <w:p w:rsidR="00057342" w:rsidRPr="00C42BFD" w:rsidRDefault="00057342" w:rsidP="00057342">
            <w:pPr>
              <w:jc w:val="center"/>
              <w:rPr>
                <w:lang w:val="en-US"/>
              </w:rPr>
            </w:pPr>
            <w:r w:rsidRPr="00C42BFD">
              <w:rPr>
                <w:noProof/>
                <w:lang w:val="en-US"/>
              </w:rPr>
              <w:t>1</w:t>
            </w:r>
            <w:r>
              <w:rPr>
                <w:noProof/>
                <w:lang w:val="en-US"/>
              </w:rPr>
              <w:t>6</w:t>
            </w:r>
            <w:r w:rsidRPr="00C42BFD">
              <w:rPr>
                <w:noProof/>
                <w:lang w:val="en-US"/>
              </w:rPr>
              <w:t>:00</w:t>
            </w:r>
            <w:r w:rsidRPr="00C42BFD">
              <w:rPr>
                <w:lang w:val="en-US"/>
              </w:rPr>
              <w:t xml:space="preserve"> HRS</w:t>
            </w:r>
          </w:p>
        </w:tc>
      </w:tr>
    </w:tbl>
    <w:p w:rsidR="00D1617F" w:rsidRPr="00C42BFD" w:rsidRDefault="00D1617F" w:rsidP="00D1617F">
      <w:pPr>
        <w:jc w:val="both"/>
        <w:rPr>
          <w:b/>
        </w:rPr>
      </w:pPr>
    </w:p>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w:t>
      </w:r>
      <w:r w:rsidR="00EC663A">
        <w:rPr>
          <w:b/>
          <w:bCs/>
        </w:rPr>
        <w:t>1</w:t>
      </w:r>
      <w:r>
        <w:rPr>
          <w:b/>
          <w:bCs/>
        </w:rPr>
        <w:t xml:space="preserve"> de </w:t>
      </w:r>
      <w:r w:rsidR="002F1977">
        <w:rPr>
          <w:b/>
          <w:bCs/>
        </w:rPr>
        <w:t>junio</w:t>
      </w:r>
      <w:r>
        <w:rPr>
          <w:b/>
          <w:bCs/>
        </w:rPr>
        <w:t xml:space="preserve"> de 2016 </w:t>
      </w:r>
      <w:r w:rsidRPr="00740F99">
        <w:rPr>
          <w:bCs/>
        </w:rPr>
        <w:t xml:space="preserve">y hasta el día </w:t>
      </w:r>
      <w:r w:rsidR="00732EAE">
        <w:rPr>
          <w:b/>
          <w:bCs/>
        </w:rPr>
        <w:t>2</w:t>
      </w:r>
      <w:r w:rsidR="00EC663A">
        <w:rPr>
          <w:b/>
          <w:bCs/>
        </w:rPr>
        <w:t>3</w:t>
      </w:r>
      <w:r w:rsidRPr="00740F99">
        <w:rPr>
          <w:b/>
          <w:bCs/>
        </w:rPr>
        <w:t xml:space="preserve"> de </w:t>
      </w:r>
      <w:r w:rsidR="002F1977">
        <w:rPr>
          <w:b/>
          <w:bCs/>
        </w:rPr>
        <w:t>junio</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EC663A">
        <w:rPr>
          <w:b/>
          <w:bCs/>
        </w:rPr>
        <w:t>martes</w:t>
      </w:r>
      <w:r>
        <w:rPr>
          <w:b/>
          <w:bCs/>
        </w:rPr>
        <w:t xml:space="preserve"> </w:t>
      </w:r>
      <w:r w:rsidR="00F34E43">
        <w:rPr>
          <w:b/>
          <w:bCs/>
        </w:rPr>
        <w:t>2</w:t>
      </w:r>
      <w:r w:rsidR="002F1977">
        <w:rPr>
          <w:b/>
          <w:bCs/>
        </w:rPr>
        <w:t>1</w:t>
      </w:r>
      <w:r w:rsidR="00A81F58">
        <w:rPr>
          <w:b/>
          <w:bCs/>
        </w:rPr>
        <w:t>,</w:t>
      </w:r>
      <w:r w:rsidRPr="0066463E">
        <w:rPr>
          <w:b/>
          <w:bCs/>
        </w:rPr>
        <w:t xml:space="preserve"> </w:t>
      </w:r>
      <w:r w:rsidR="00EC663A">
        <w:rPr>
          <w:b/>
          <w:bCs/>
        </w:rPr>
        <w:t>miércoles</w:t>
      </w:r>
      <w:r w:rsidR="00732EAE">
        <w:rPr>
          <w:b/>
          <w:bCs/>
        </w:rPr>
        <w:t xml:space="preserve"> 2</w:t>
      </w:r>
      <w:r w:rsidR="002F1977">
        <w:rPr>
          <w:b/>
          <w:bCs/>
        </w:rPr>
        <w:t>2</w:t>
      </w:r>
      <w:r w:rsidR="00732EAE">
        <w:rPr>
          <w:b/>
          <w:bCs/>
        </w:rPr>
        <w:t xml:space="preserve"> </w:t>
      </w:r>
      <w:r w:rsidR="00F34E43">
        <w:rPr>
          <w:b/>
          <w:bCs/>
        </w:rPr>
        <w:t xml:space="preserve"> </w:t>
      </w:r>
      <w:r w:rsidR="00732EAE">
        <w:rPr>
          <w:b/>
          <w:bCs/>
        </w:rPr>
        <w:t xml:space="preserve">y </w:t>
      </w:r>
      <w:r w:rsidR="00EC663A">
        <w:rPr>
          <w:b/>
          <w:bCs/>
        </w:rPr>
        <w:t>jueves</w:t>
      </w:r>
      <w:r w:rsidR="00732EAE">
        <w:rPr>
          <w:b/>
          <w:bCs/>
        </w:rPr>
        <w:t xml:space="preserve"> 2</w:t>
      </w:r>
      <w:r w:rsidR="002F1977">
        <w:rPr>
          <w:b/>
          <w:bCs/>
        </w:rPr>
        <w:t>3</w:t>
      </w:r>
      <w:r w:rsidR="00A81F58">
        <w:rPr>
          <w:b/>
          <w:bCs/>
        </w:rPr>
        <w:t xml:space="preserve"> </w:t>
      </w:r>
      <w:r w:rsidR="00F34E43">
        <w:rPr>
          <w:b/>
          <w:bCs/>
        </w:rPr>
        <w:t>de</w:t>
      </w:r>
      <w:r w:rsidR="009C057C">
        <w:rPr>
          <w:b/>
          <w:bCs/>
        </w:rPr>
        <w:t xml:space="preserve"> </w:t>
      </w:r>
      <w:r w:rsidR="002F1977">
        <w:rPr>
          <w:b/>
          <w:bCs/>
        </w:rPr>
        <w:t>junio</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lastRenderedPageBreak/>
        <w:t xml:space="preserve">b.- </w:t>
      </w:r>
      <w:r w:rsidR="00FE534F" w:rsidRPr="00AE32BE">
        <w:t xml:space="preserve">Copia de la constancia de registro de concursante definitivo y actualizado del mes de </w:t>
      </w:r>
      <w:r w:rsidR="009C057C">
        <w:t>ju</w:t>
      </w:r>
      <w:r w:rsidR="002F1977">
        <w:t>l</w:t>
      </w:r>
      <w:r w:rsidR="009C057C">
        <w:t>io</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proofErr w:type="spellStart"/>
      <w:r>
        <w:t>e</w:t>
      </w:r>
      <w:proofErr w:type="spellEnd"/>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del  </w:t>
      </w:r>
      <w:r w:rsidR="00FE534F" w:rsidRPr="00AF7533">
        <w:rPr>
          <w:b/>
        </w:rPr>
        <w:t>Distrito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w:t>
      </w:r>
      <w:r w:rsidR="00EC663A">
        <w:rPr>
          <w:b/>
          <w:bCs/>
        </w:rPr>
        <w:t>1</w:t>
      </w:r>
      <w:r w:rsidRPr="009A3303">
        <w:rPr>
          <w:b/>
          <w:bCs/>
        </w:rPr>
        <w:t xml:space="preserve"> de </w:t>
      </w:r>
      <w:r w:rsidR="002F1977">
        <w:rPr>
          <w:b/>
          <w:bCs/>
        </w:rPr>
        <w:t>junio</w:t>
      </w:r>
      <w:r>
        <w:rPr>
          <w:b/>
          <w:bCs/>
        </w:rPr>
        <w:t xml:space="preserve"> </w:t>
      </w:r>
      <w:r w:rsidRPr="009A3303">
        <w:rPr>
          <w:b/>
          <w:bCs/>
        </w:rPr>
        <w:t>de 201</w:t>
      </w:r>
      <w:r w:rsidR="00F040D2">
        <w:rPr>
          <w:b/>
          <w:bCs/>
        </w:rPr>
        <w:t>6</w:t>
      </w:r>
      <w:r w:rsidRPr="009A3303">
        <w:rPr>
          <w:b/>
          <w:bCs/>
        </w:rPr>
        <w:t xml:space="preserve"> y hasta el día </w:t>
      </w:r>
      <w:r w:rsidR="00732EAE">
        <w:rPr>
          <w:b/>
          <w:bCs/>
        </w:rPr>
        <w:t>2</w:t>
      </w:r>
      <w:r w:rsidR="00EC663A">
        <w:rPr>
          <w:b/>
          <w:bCs/>
        </w:rPr>
        <w:t>3</w:t>
      </w:r>
      <w:r w:rsidRPr="009A3303">
        <w:rPr>
          <w:b/>
          <w:bCs/>
        </w:rPr>
        <w:t xml:space="preserve"> de </w:t>
      </w:r>
      <w:r w:rsidR="002F1977">
        <w:rPr>
          <w:b/>
          <w:bCs/>
        </w:rPr>
        <w:t>junio</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2F1977">
        <w:rPr>
          <w:b/>
          <w:bCs/>
        </w:rPr>
        <w:t>martes</w:t>
      </w:r>
      <w:r w:rsidR="00732EAE">
        <w:rPr>
          <w:b/>
          <w:bCs/>
        </w:rPr>
        <w:t xml:space="preserve"> 2</w:t>
      </w:r>
      <w:r w:rsidR="002F1977">
        <w:rPr>
          <w:b/>
          <w:bCs/>
        </w:rPr>
        <w:t>1</w:t>
      </w:r>
      <w:r w:rsidR="00732EAE">
        <w:rPr>
          <w:b/>
          <w:bCs/>
        </w:rPr>
        <w:t xml:space="preserve">, </w:t>
      </w:r>
      <w:r w:rsidR="002F1977">
        <w:rPr>
          <w:b/>
          <w:bCs/>
        </w:rPr>
        <w:t>miércoles</w:t>
      </w:r>
      <w:r w:rsidR="00732EAE">
        <w:rPr>
          <w:b/>
          <w:bCs/>
        </w:rPr>
        <w:t xml:space="preserve"> 2</w:t>
      </w:r>
      <w:r w:rsidR="002F1977">
        <w:rPr>
          <w:b/>
          <w:bCs/>
        </w:rPr>
        <w:t>2</w:t>
      </w:r>
      <w:r w:rsidR="00A81F58">
        <w:rPr>
          <w:b/>
          <w:bCs/>
        </w:rPr>
        <w:t xml:space="preserve"> </w:t>
      </w:r>
      <w:r w:rsidR="00EC663A">
        <w:rPr>
          <w:b/>
          <w:bCs/>
        </w:rPr>
        <w:t xml:space="preserve">y jueves 23 </w:t>
      </w:r>
      <w:r w:rsidRPr="0066463E">
        <w:rPr>
          <w:b/>
          <w:bCs/>
        </w:rPr>
        <w:t xml:space="preserve">de </w:t>
      </w:r>
      <w:r w:rsidR="002F1977">
        <w:rPr>
          <w:b/>
          <w:bCs/>
        </w:rPr>
        <w:t>junio</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lastRenderedPageBreak/>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lastRenderedPageBreak/>
        <w:t xml:space="preserve">CIUDAD DE </w:t>
      </w:r>
      <w:r w:rsidRPr="00C42BFD">
        <w:rPr>
          <w:rFonts w:ascii="Times New Roman" w:hAnsi="Times New Roman"/>
        </w:rPr>
        <w:t xml:space="preserve">MÉXICO, A </w:t>
      </w:r>
      <w:r w:rsidR="00F34E43">
        <w:rPr>
          <w:rFonts w:ascii="Times New Roman" w:hAnsi="Times New Roman"/>
        </w:rPr>
        <w:t>1</w:t>
      </w:r>
      <w:r w:rsidR="00EC663A">
        <w:rPr>
          <w:rFonts w:ascii="Times New Roman" w:hAnsi="Times New Roman"/>
        </w:rPr>
        <w:t>5</w:t>
      </w:r>
      <w:r w:rsidRPr="00C42BFD">
        <w:rPr>
          <w:rFonts w:ascii="Times New Roman" w:hAnsi="Times New Roman"/>
        </w:rPr>
        <w:t xml:space="preserve"> DE </w:t>
      </w:r>
      <w:r w:rsidR="002F1977">
        <w:rPr>
          <w:rFonts w:ascii="Times New Roman" w:hAnsi="Times New Roman"/>
        </w:rPr>
        <w:t>JUNIO</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69" w:rsidRDefault="00A76D69">
      <w:r>
        <w:separator/>
      </w:r>
    </w:p>
  </w:endnote>
  <w:endnote w:type="continuationSeparator" w:id="0">
    <w:p w:rsidR="00A76D69" w:rsidRDefault="00A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69" w:rsidRDefault="00A76D69">
      <w:r>
        <w:separator/>
      </w:r>
    </w:p>
  </w:footnote>
  <w:footnote w:type="continuationSeparator" w:id="0">
    <w:p w:rsidR="00A76D69" w:rsidRDefault="00A76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72"/>
    <w:rsid w:val="00012D27"/>
    <w:rsid w:val="00014B33"/>
    <w:rsid w:val="000241EF"/>
    <w:rsid w:val="000276D6"/>
    <w:rsid w:val="000403E0"/>
    <w:rsid w:val="000470D2"/>
    <w:rsid w:val="00052761"/>
    <w:rsid w:val="00057342"/>
    <w:rsid w:val="00065F47"/>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5EDF"/>
    <w:rsid w:val="002F045B"/>
    <w:rsid w:val="002F1977"/>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1FD1"/>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29D"/>
    <w:rsid w:val="00534AFF"/>
    <w:rsid w:val="00534E11"/>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44F50"/>
    <w:rsid w:val="008469AD"/>
    <w:rsid w:val="00854897"/>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C057C"/>
    <w:rsid w:val="009C2505"/>
    <w:rsid w:val="009D408C"/>
    <w:rsid w:val="009D6306"/>
    <w:rsid w:val="009E3FD4"/>
    <w:rsid w:val="009E6AD6"/>
    <w:rsid w:val="009E6FF3"/>
    <w:rsid w:val="009E73E1"/>
    <w:rsid w:val="009F377F"/>
    <w:rsid w:val="009F4CEB"/>
    <w:rsid w:val="009F4DF2"/>
    <w:rsid w:val="00A03659"/>
    <w:rsid w:val="00A070C2"/>
    <w:rsid w:val="00A1162B"/>
    <w:rsid w:val="00A1250A"/>
    <w:rsid w:val="00A24A66"/>
    <w:rsid w:val="00A25AAC"/>
    <w:rsid w:val="00A3338C"/>
    <w:rsid w:val="00A33A82"/>
    <w:rsid w:val="00A33B83"/>
    <w:rsid w:val="00A343BE"/>
    <w:rsid w:val="00A41724"/>
    <w:rsid w:val="00A42885"/>
    <w:rsid w:val="00A500FC"/>
    <w:rsid w:val="00A6657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6AD0"/>
    <w:rsid w:val="00AF7533"/>
    <w:rsid w:val="00B0086B"/>
    <w:rsid w:val="00B014BE"/>
    <w:rsid w:val="00B04BC4"/>
    <w:rsid w:val="00B06AD7"/>
    <w:rsid w:val="00B101DB"/>
    <w:rsid w:val="00B25D31"/>
    <w:rsid w:val="00B33CEA"/>
    <w:rsid w:val="00B400FE"/>
    <w:rsid w:val="00B44D51"/>
    <w:rsid w:val="00B54D5C"/>
    <w:rsid w:val="00B614EB"/>
    <w:rsid w:val="00B718DA"/>
    <w:rsid w:val="00B76E9A"/>
    <w:rsid w:val="00B819CE"/>
    <w:rsid w:val="00B84B74"/>
    <w:rsid w:val="00B90655"/>
    <w:rsid w:val="00B96016"/>
    <w:rsid w:val="00BA2932"/>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63DF2"/>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1B4D"/>
    <w:rsid w:val="00E66D1A"/>
    <w:rsid w:val="00E70C55"/>
    <w:rsid w:val="00E729AE"/>
    <w:rsid w:val="00E75D51"/>
    <w:rsid w:val="00E764DB"/>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Ttul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Ttul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E3D5-5253-4B0E-A2D7-2907E6B8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3687</Words>
  <Characters>20452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24091</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ALFREDO</cp:lastModifiedBy>
  <cp:revision>19</cp:revision>
  <cp:lastPrinted>2016-06-14T20:44:00Z</cp:lastPrinted>
  <dcterms:created xsi:type="dcterms:W3CDTF">2016-03-28T18:22:00Z</dcterms:created>
  <dcterms:modified xsi:type="dcterms:W3CDTF">2016-06-15T01:14:00Z</dcterms:modified>
</cp:coreProperties>
</file>