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EE51EE" w:rsidRDefault="00622E31" w:rsidP="00A230F9">
      <w:pPr>
        <w:spacing w:after="0"/>
        <w:jc w:val="both"/>
        <w:rPr>
          <w:rFonts w:ascii="Bell MT" w:hAnsi="Bell MT"/>
          <w:sz w:val="28"/>
          <w:szCs w:val="30"/>
        </w:rPr>
      </w:pPr>
    </w:p>
    <w:p w:rsidR="00FD215D" w:rsidRPr="00EE51EE" w:rsidRDefault="00622E31" w:rsidP="00A230F9">
      <w:pPr>
        <w:spacing w:after="0"/>
        <w:jc w:val="both"/>
        <w:rPr>
          <w:rFonts w:ascii="Bell MT" w:hAnsi="Bell MT"/>
          <w:sz w:val="28"/>
          <w:szCs w:val="30"/>
        </w:rPr>
      </w:pPr>
      <w:r w:rsidRPr="00EE51EE">
        <w:rPr>
          <w:rFonts w:ascii="Bell MT" w:hAnsi="Bell MT"/>
          <w:sz w:val="28"/>
          <w:szCs w:val="30"/>
        </w:rPr>
        <w:t xml:space="preserve">A efectos de dar cumplimiento a </w:t>
      </w:r>
      <w:r w:rsidR="00EC3F61" w:rsidRPr="00EE51EE">
        <w:rPr>
          <w:rFonts w:ascii="Bell MT" w:hAnsi="Bell MT"/>
          <w:sz w:val="28"/>
          <w:szCs w:val="30"/>
        </w:rPr>
        <w:t xml:space="preserve">lo establecido en el artículo </w:t>
      </w:r>
      <w:r w:rsidR="00E829BD" w:rsidRPr="00EE51EE">
        <w:rPr>
          <w:rFonts w:ascii="Bell MT" w:hAnsi="Bell MT"/>
          <w:sz w:val="28"/>
          <w:szCs w:val="30"/>
        </w:rPr>
        <w:t>122</w:t>
      </w:r>
      <w:r w:rsidR="00EC3F61" w:rsidRPr="00EE51EE">
        <w:rPr>
          <w:rFonts w:ascii="Bell MT" w:hAnsi="Bell MT"/>
          <w:sz w:val="28"/>
          <w:szCs w:val="30"/>
        </w:rPr>
        <w:t xml:space="preserve">, fracción </w:t>
      </w:r>
      <w:r w:rsidR="00A230F9" w:rsidRPr="00EE51EE">
        <w:rPr>
          <w:rFonts w:ascii="Bell MT" w:hAnsi="Bell MT"/>
          <w:sz w:val="28"/>
          <w:szCs w:val="30"/>
        </w:rPr>
        <w:t>I</w:t>
      </w:r>
      <w:r w:rsidR="00E829BD" w:rsidRPr="00EE51EE">
        <w:rPr>
          <w:rFonts w:ascii="Bell MT" w:hAnsi="Bell MT"/>
          <w:sz w:val="28"/>
          <w:szCs w:val="30"/>
        </w:rPr>
        <w:t>I</w:t>
      </w:r>
      <w:r w:rsidR="00EC3F61" w:rsidRPr="00EE51EE">
        <w:rPr>
          <w:rFonts w:ascii="Bell MT" w:hAnsi="Bell MT"/>
          <w:sz w:val="28"/>
          <w:szCs w:val="30"/>
        </w:rPr>
        <w:t xml:space="preserve"> de la Ley de Transparencia, Acceso a la Información Pública y Rendición de Cuentas de la Ciudad de México, que a la letra señala: </w:t>
      </w:r>
    </w:p>
    <w:p w:rsidR="00B90964" w:rsidRPr="00EE51EE" w:rsidRDefault="00B90964" w:rsidP="00A230F9">
      <w:pPr>
        <w:spacing w:after="0"/>
        <w:jc w:val="both"/>
        <w:rPr>
          <w:rFonts w:ascii="Bell MT" w:hAnsi="Bell MT"/>
          <w:i/>
          <w:sz w:val="24"/>
          <w:szCs w:val="30"/>
        </w:rPr>
      </w:pPr>
    </w:p>
    <w:p w:rsidR="00D70FD6" w:rsidRPr="00EE51EE" w:rsidRDefault="00EC3F61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>“</w:t>
      </w:r>
      <w:r w:rsidR="00D70FD6" w:rsidRPr="00EE51EE">
        <w:rPr>
          <w:rFonts w:ascii="Bell MT" w:hAnsi="Bell MT"/>
          <w:i/>
          <w:sz w:val="24"/>
          <w:szCs w:val="24"/>
        </w:rPr>
        <w:t xml:space="preserve">II. La información actualizada mensualmente de los programas de subsidios, estímulos, apoyos y ayudas en el que se deberá informar respecto de los programas de transferencia, de servicios, de infraestructura social y de subsidio, en los que se deberá contener lo siguiente:  </w:t>
      </w:r>
    </w:p>
    <w:p w:rsidR="00D70FD6" w:rsidRPr="00EE51EE" w:rsidRDefault="00D70FD6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a) Área;  </w:t>
      </w:r>
    </w:p>
    <w:p w:rsidR="00D70FD6" w:rsidRPr="00EE51EE" w:rsidRDefault="00D70FD6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b) Denominación del programa;  </w:t>
      </w:r>
    </w:p>
    <w:p w:rsidR="00D70FD6" w:rsidRPr="00EE51EE" w:rsidRDefault="00D70FD6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c) Periodo de vigencia;  </w:t>
      </w:r>
    </w:p>
    <w:p w:rsidR="00D70FD6" w:rsidRPr="00EE51EE" w:rsidRDefault="00D70FD6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d) Diseño, objetivos y alcances;  </w:t>
      </w:r>
    </w:p>
    <w:p w:rsidR="00D70FD6" w:rsidRPr="00EE51EE" w:rsidRDefault="00D70FD6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e) Metas físicas;  </w:t>
      </w:r>
    </w:p>
    <w:p w:rsidR="00D70FD6" w:rsidRPr="00EE51EE" w:rsidRDefault="00D70FD6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f) Población beneficiada estimada;  </w:t>
      </w:r>
    </w:p>
    <w:p w:rsidR="00D70FD6" w:rsidRPr="00EE51EE" w:rsidRDefault="00D70FD6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>g) Monto aprobado, modificado y ejercido, así como los calendarios de su programación presupuestal;</w:t>
      </w:r>
    </w:p>
    <w:p w:rsidR="00664F57" w:rsidRPr="00EE51EE" w:rsidRDefault="00664F57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h) Requisitos y procedimientos de acceso;  i) Procedimiento de queja o inconformidad ciudadana;  </w:t>
      </w:r>
    </w:p>
    <w:p w:rsidR="00664F57" w:rsidRPr="00EE51EE" w:rsidRDefault="00664F57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j) Mecanismos de exigibilidad;  </w:t>
      </w:r>
    </w:p>
    <w:p w:rsidR="00664F57" w:rsidRPr="00EE51EE" w:rsidRDefault="00664F57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k) Mecanismos de evaluación, informes de evaluación y seguimiento de recomendaciones;  </w:t>
      </w:r>
    </w:p>
    <w:p w:rsidR="00664F57" w:rsidRPr="00EE51EE" w:rsidRDefault="00664F57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l) Indicadores con nombre, definición, método de cálculo, unidad de medida, dimensión, frecuencia de medición, nombre de las bases de datos utilizadas para su cálculo;  </w:t>
      </w:r>
    </w:p>
    <w:p w:rsidR="00680E96" w:rsidRPr="00EE51EE" w:rsidRDefault="00664F57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>m) Formas de participación social;</w:t>
      </w:r>
    </w:p>
    <w:p w:rsidR="00680E96" w:rsidRPr="00EE51EE" w:rsidRDefault="00680E96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n) Articulación con otros programas sociales;  </w:t>
      </w:r>
    </w:p>
    <w:p w:rsidR="00680E96" w:rsidRPr="00EE51EE" w:rsidRDefault="00680E96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o) Vínculo a las reglas de operación o Documento equivalente;  </w:t>
      </w:r>
    </w:p>
    <w:p w:rsidR="000A5A3F" w:rsidRPr="00EE51EE" w:rsidRDefault="00680E96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>p) Vínculo a la convocatoria respectiva;</w:t>
      </w:r>
    </w:p>
    <w:p w:rsidR="000A5A3F" w:rsidRPr="00EE51EE" w:rsidRDefault="000A5A3F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 xml:space="preserve">q) Informes periódicos sobre la ejecución y los resultados de las evaluaciones realizadas; </w:t>
      </w:r>
    </w:p>
    <w:p w:rsidR="00FD215D" w:rsidRPr="00EE51EE" w:rsidRDefault="000A5A3F" w:rsidP="00EE51EE">
      <w:pPr>
        <w:spacing w:after="0"/>
        <w:ind w:left="284" w:right="333"/>
        <w:jc w:val="both"/>
        <w:rPr>
          <w:rFonts w:ascii="Bell MT" w:hAnsi="Bell MT"/>
          <w:i/>
          <w:sz w:val="24"/>
          <w:szCs w:val="24"/>
        </w:rPr>
      </w:pPr>
      <w:r w:rsidRPr="00EE51EE">
        <w:rPr>
          <w:rFonts w:ascii="Bell MT" w:hAnsi="Bell MT"/>
          <w:i/>
          <w:sz w:val="24"/>
          <w:szCs w:val="24"/>
        </w:rPr>
        <w:t>r) Padrón de beneficiarios mismo que deberá contener los siguientes datos: nombre de la persona física o denominación social de las personas morales beneficiarias, el monto, recurso, beneficio o apoyo otorgado para cada una de ellas, su distribución por unidad territorial, en su caso, edad y sexo; y</w:t>
      </w:r>
      <w:r w:rsidR="007220C0" w:rsidRPr="00EE51EE">
        <w:rPr>
          <w:rFonts w:ascii="Bell MT" w:hAnsi="Bell MT"/>
          <w:i/>
          <w:sz w:val="24"/>
          <w:szCs w:val="24"/>
        </w:rPr>
        <w:t>”</w:t>
      </w:r>
    </w:p>
    <w:p w:rsidR="00B90964" w:rsidRPr="00B90964" w:rsidRDefault="00B90964" w:rsidP="00A230F9">
      <w:pPr>
        <w:spacing w:after="0"/>
        <w:jc w:val="both"/>
        <w:rPr>
          <w:rFonts w:ascii="Bell MT" w:hAnsi="Bell MT"/>
          <w:b/>
          <w:i/>
          <w:sz w:val="30"/>
          <w:szCs w:val="30"/>
        </w:rPr>
      </w:pPr>
    </w:p>
    <w:p w:rsidR="00EC3F61" w:rsidRPr="00B90964" w:rsidRDefault="00EC3F61" w:rsidP="00A230F9">
      <w:pPr>
        <w:spacing w:after="0"/>
        <w:jc w:val="both"/>
        <w:rPr>
          <w:rFonts w:ascii="Bell MT" w:hAnsi="Bell MT"/>
          <w:sz w:val="28"/>
          <w:szCs w:val="30"/>
        </w:rPr>
      </w:pPr>
      <w:r w:rsidRPr="00B90964">
        <w:rPr>
          <w:rFonts w:ascii="Bell MT" w:hAnsi="Bell MT"/>
          <w:sz w:val="28"/>
          <w:szCs w:val="30"/>
        </w:rPr>
        <w:t xml:space="preserve">Se informa que, durante el periodo que se reporta, </w:t>
      </w:r>
      <w:r w:rsidR="00816B3B" w:rsidRPr="00B90964">
        <w:rPr>
          <w:rFonts w:ascii="Bell MT" w:hAnsi="Bell MT"/>
          <w:sz w:val="28"/>
          <w:szCs w:val="30"/>
        </w:rPr>
        <w:t xml:space="preserve">en </w:t>
      </w:r>
      <w:r w:rsidR="00E326FC" w:rsidRPr="00B90964">
        <w:rPr>
          <w:rFonts w:ascii="Bell MT" w:hAnsi="Bell MT"/>
          <w:sz w:val="28"/>
          <w:szCs w:val="30"/>
        </w:rPr>
        <w:t xml:space="preserve">esta Dirección General de Desarrollo Social </w:t>
      </w:r>
      <w:r w:rsidRPr="00B90964">
        <w:rPr>
          <w:rFonts w:ascii="Bell MT" w:hAnsi="Bell MT"/>
          <w:sz w:val="28"/>
          <w:szCs w:val="30"/>
        </w:rPr>
        <w:t>no se llevaron a cabo programas sociales</w:t>
      </w:r>
      <w:r w:rsidR="00CE4219" w:rsidRPr="00B90964">
        <w:rPr>
          <w:rFonts w:ascii="Bell MT" w:hAnsi="Bell MT"/>
          <w:sz w:val="28"/>
          <w:szCs w:val="30"/>
        </w:rPr>
        <w:t>, para priorizar acciones institucionales</w:t>
      </w:r>
      <w:r w:rsidRPr="00B90964">
        <w:rPr>
          <w:rFonts w:ascii="Bell MT" w:hAnsi="Bell MT"/>
          <w:sz w:val="28"/>
          <w:szCs w:val="30"/>
        </w:rPr>
        <w:t>. Por lo cual</w:t>
      </w:r>
      <w:r w:rsidR="00622E31" w:rsidRPr="00B90964">
        <w:rPr>
          <w:rFonts w:ascii="Bell MT" w:hAnsi="Bell MT"/>
          <w:sz w:val="28"/>
          <w:szCs w:val="30"/>
        </w:rPr>
        <w:t>,</w:t>
      </w:r>
      <w:r w:rsidRPr="00B90964">
        <w:rPr>
          <w:rFonts w:ascii="Bell MT" w:hAnsi="Bell MT"/>
          <w:sz w:val="28"/>
          <w:szCs w:val="30"/>
        </w:rPr>
        <w:t xml:space="preserve"> no se cuenta con </w:t>
      </w:r>
      <w:r w:rsidR="00B90964">
        <w:rPr>
          <w:rFonts w:ascii="Bell MT" w:hAnsi="Bell MT"/>
          <w:sz w:val="28"/>
          <w:szCs w:val="30"/>
        </w:rPr>
        <w:t>la información al respecto</w:t>
      </w:r>
      <w:r w:rsidR="00622E31" w:rsidRPr="00B90964">
        <w:rPr>
          <w:rFonts w:ascii="Bell MT" w:hAnsi="Bell MT"/>
          <w:sz w:val="28"/>
          <w:szCs w:val="30"/>
        </w:rPr>
        <w:t>.</w:t>
      </w:r>
    </w:p>
    <w:sectPr w:rsidR="00EC3F61" w:rsidRPr="00B90964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AF" w:rsidRDefault="00DD29AF" w:rsidP="00EC3F61">
      <w:pPr>
        <w:spacing w:after="0" w:line="240" w:lineRule="auto"/>
      </w:pPr>
      <w:r>
        <w:separator/>
      </w:r>
    </w:p>
  </w:endnote>
  <w:endnote w:type="continuationSeparator" w:id="1">
    <w:p w:rsidR="00DD29AF" w:rsidRDefault="00DD29AF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AF" w:rsidRDefault="00DD29AF" w:rsidP="00EC3F61">
      <w:pPr>
        <w:spacing w:after="0" w:line="240" w:lineRule="auto"/>
      </w:pPr>
      <w:r>
        <w:separator/>
      </w:r>
    </w:p>
  </w:footnote>
  <w:footnote w:type="continuationSeparator" w:id="1">
    <w:p w:rsidR="00DD29AF" w:rsidRDefault="00DD29AF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4066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50F6A"/>
    <w:rsid w:val="000A5A3F"/>
    <w:rsid w:val="000F0945"/>
    <w:rsid w:val="00131CA8"/>
    <w:rsid w:val="0014372F"/>
    <w:rsid w:val="001C0B5E"/>
    <w:rsid w:val="00202B07"/>
    <w:rsid w:val="002030C6"/>
    <w:rsid w:val="002E09F9"/>
    <w:rsid w:val="002E33A5"/>
    <w:rsid w:val="00456A45"/>
    <w:rsid w:val="004D1DB5"/>
    <w:rsid w:val="00514066"/>
    <w:rsid w:val="005D1317"/>
    <w:rsid w:val="00622E31"/>
    <w:rsid w:val="00664F57"/>
    <w:rsid w:val="00680E96"/>
    <w:rsid w:val="006C4816"/>
    <w:rsid w:val="007220C0"/>
    <w:rsid w:val="007519E9"/>
    <w:rsid w:val="00816B3B"/>
    <w:rsid w:val="00993063"/>
    <w:rsid w:val="009C5894"/>
    <w:rsid w:val="009C79E3"/>
    <w:rsid w:val="009E4A0C"/>
    <w:rsid w:val="00A230F9"/>
    <w:rsid w:val="00B34F9C"/>
    <w:rsid w:val="00B90964"/>
    <w:rsid w:val="00C258D1"/>
    <w:rsid w:val="00C657F2"/>
    <w:rsid w:val="00C81CAD"/>
    <w:rsid w:val="00C84089"/>
    <w:rsid w:val="00CD1239"/>
    <w:rsid w:val="00CE4219"/>
    <w:rsid w:val="00D22E37"/>
    <w:rsid w:val="00D50175"/>
    <w:rsid w:val="00D70FD6"/>
    <w:rsid w:val="00D75B26"/>
    <w:rsid w:val="00DD29AF"/>
    <w:rsid w:val="00E04142"/>
    <w:rsid w:val="00E326FC"/>
    <w:rsid w:val="00E829BD"/>
    <w:rsid w:val="00EC3F61"/>
    <w:rsid w:val="00EE51EE"/>
    <w:rsid w:val="00FD215D"/>
    <w:rsid w:val="00FF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  <w:style w:type="paragraph" w:styleId="Prrafodelista">
    <w:name w:val="List Paragraph"/>
    <w:basedOn w:val="Normal"/>
    <w:uiPriority w:val="34"/>
    <w:qFormat/>
    <w:rsid w:val="00D70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10</cp:revision>
  <dcterms:created xsi:type="dcterms:W3CDTF">2019-03-26T18:18:00Z</dcterms:created>
  <dcterms:modified xsi:type="dcterms:W3CDTF">2019-03-26T18:23:00Z</dcterms:modified>
</cp:coreProperties>
</file>