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9F" w:rsidRDefault="0068449F">
      <w:pPr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5F6A67F1" wp14:editId="1022688A">
            <wp:simplePos x="0" y="0"/>
            <wp:positionH relativeFrom="margin">
              <wp:posOffset>3863340</wp:posOffset>
            </wp:positionH>
            <wp:positionV relativeFrom="paragraph">
              <wp:posOffset>-480695</wp:posOffset>
            </wp:positionV>
            <wp:extent cx="1748155" cy="733425"/>
            <wp:effectExtent l="0" t="0" r="4445" b="9525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9F" w:rsidRDefault="0068449F">
      <w:pPr>
        <w:rPr>
          <w:sz w:val="32"/>
          <w:szCs w:val="32"/>
        </w:rPr>
      </w:pPr>
    </w:p>
    <w:p w:rsidR="00494B58" w:rsidRPr="000266D9" w:rsidRDefault="00DD345E">
      <w:pPr>
        <w:rPr>
          <w:sz w:val="32"/>
          <w:szCs w:val="32"/>
        </w:rPr>
      </w:pPr>
      <w:r>
        <w:rPr>
          <w:sz w:val="32"/>
          <w:szCs w:val="32"/>
        </w:rPr>
        <w:t>Art_124</w:t>
      </w:r>
      <w:r w:rsidR="00C46E47" w:rsidRPr="000266D9">
        <w:rPr>
          <w:sz w:val="32"/>
          <w:szCs w:val="32"/>
        </w:rPr>
        <w:t>_Fr_</w:t>
      </w:r>
      <w:r>
        <w:rPr>
          <w:sz w:val="32"/>
          <w:szCs w:val="32"/>
        </w:rPr>
        <w:t>V</w:t>
      </w:r>
      <w:r w:rsidR="00C46E47" w:rsidRPr="000266D9">
        <w:rPr>
          <w:sz w:val="32"/>
          <w:szCs w:val="32"/>
        </w:rPr>
        <w:t xml:space="preserve"> </w:t>
      </w:r>
      <w:r w:rsidR="00104838">
        <w:rPr>
          <w:sz w:val="32"/>
          <w:szCs w:val="32"/>
        </w:rPr>
        <w:t xml:space="preserve">EJECUCIÓN DEL PRESUPUESTO </w:t>
      </w:r>
      <w:bookmarkStart w:id="0" w:name="_GoBack"/>
      <w:bookmarkEnd w:id="0"/>
    </w:p>
    <w:p w:rsidR="00494B58" w:rsidRPr="009B6040" w:rsidRDefault="00494B58" w:rsidP="009B6040">
      <w:pPr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de conformidad con lo establecido en el Artículo 135 de la Ley de Presupuesto y Gasto Eficiente de la Ciudad de México que a la letra dice:</w:t>
      </w:r>
    </w:p>
    <w:p w:rsidR="005A1923" w:rsidRPr="009B6040" w:rsidRDefault="00494B58" w:rsidP="009B6040">
      <w:pPr>
        <w:ind w:left="705"/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 xml:space="preserve">ARTÍCULO 135.- Las Unidades Responsables del Gasto deberán remitir a la Secretaría el Informe Trimestral a que se refiere el Estatuto, dentro de los 15 días naturales siguientes de concluido cada trimestre… </w:t>
      </w:r>
      <w:r w:rsidR="00C46E47" w:rsidRPr="009B6040">
        <w:rPr>
          <w:i/>
          <w:sz w:val="28"/>
          <w:szCs w:val="28"/>
        </w:rPr>
        <w:t xml:space="preserve"> </w:t>
      </w:r>
    </w:p>
    <w:sectPr w:rsidR="005A1923" w:rsidRPr="009B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0266D9"/>
    <w:rsid w:val="00057BE3"/>
    <w:rsid w:val="00104838"/>
    <w:rsid w:val="00167028"/>
    <w:rsid w:val="00494B58"/>
    <w:rsid w:val="005A1923"/>
    <w:rsid w:val="0068449F"/>
    <w:rsid w:val="009B6040"/>
    <w:rsid w:val="00C46E47"/>
    <w:rsid w:val="00C61476"/>
    <w:rsid w:val="00DD345E"/>
    <w:rsid w:val="00E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01A8-7ACB-492E-8022-F2BEAB7F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Castillo Salas</dc:creator>
  <cp:lastModifiedBy>Ana Karen Castillo Salas</cp:lastModifiedBy>
  <cp:revision>5</cp:revision>
  <dcterms:created xsi:type="dcterms:W3CDTF">2018-10-22T17:55:00Z</dcterms:created>
  <dcterms:modified xsi:type="dcterms:W3CDTF">2019-01-30T18:40:00Z</dcterms:modified>
</cp:coreProperties>
</file>