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67" w:rsidRPr="00E539D6" w:rsidRDefault="002E5C8B" w:rsidP="00E07967">
      <w:pPr>
        <w:shd w:val="clear" w:color="auto" w:fill="FDFCFC"/>
        <w:spacing w:after="0" w:line="240" w:lineRule="auto"/>
        <w:rPr>
          <w:rFonts w:ascii="Times New Roman" w:eastAsia="Times New Roman" w:hAnsi="Times New Roman" w:cs="Times New Roman"/>
          <w:sz w:val="28"/>
          <w:szCs w:val="28"/>
          <w:lang w:eastAsia="es-MX"/>
        </w:rPr>
      </w:pPr>
      <w:bookmarkStart w:id="0" w:name="_GoBack"/>
      <w:bookmarkEnd w:id="0"/>
      <w:r w:rsidRPr="00E539D6">
        <w:rPr>
          <w:rFonts w:ascii="Times New Roman" w:eastAsia="Times New Roman" w:hAnsi="Times New Roman" w:cs="Times New Roman"/>
          <w:b/>
          <w:bCs/>
          <w:sz w:val="28"/>
          <w:szCs w:val="28"/>
          <w:lang w:eastAsia="es-MX"/>
        </w:rPr>
        <w:t>COORDINADOR DE CONTROL Y MOVIMIENTOS DE PERSONAL</w:t>
      </w:r>
    </w:p>
    <w:p w:rsidR="00E539D6" w:rsidRPr="00890C74" w:rsidRDefault="00E07967" w:rsidP="00E539D6">
      <w:pPr>
        <w:spacing w:after="0" w:line="240" w:lineRule="auto"/>
        <w:rPr>
          <w:rFonts w:ascii="Arial" w:eastAsia="Times New Roman" w:hAnsi="Arial" w:cs="Arial"/>
          <w:b/>
          <w:smallCaps/>
          <w:sz w:val="24"/>
          <w:szCs w:val="24"/>
          <w:lang w:eastAsia="es-MX"/>
        </w:rPr>
      </w:pPr>
      <w:r w:rsidRPr="00E539D6">
        <w:rPr>
          <w:rFonts w:ascii="Times New Roman" w:eastAsia="Times New Roman" w:hAnsi="Times New Roman" w:cs="Times New Roman"/>
          <w:sz w:val="28"/>
          <w:szCs w:val="28"/>
          <w:lang w:eastAsia="es-MX"/>
        </w:rPr>
        <w:br/>
      </w:r>
      <w:r w:rsidR="00E539D6" w:rsidRPr="00890C74">
        <w:rPr>
          <w:rFonts w:ascii="Arial" w:eastAsia="Times New Roman" w:hAnsi="Arial" w:cs="Arial"/>
          <w:b/>
          <w:smallCaps/>
          <w:sz w:val="24"/>
          <w:szCs w:val="24"/>
          <w:lang w:eastAsia="es-MX"/>
        </w:rPr>
        <w:t>Perfil del Puesto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539D6" w:rsidRDefault="00E539D6" w:rsidP="00E539D6">
      <w:pPr>
        <w:spacing w:after="0" w:line="240" w:lineRule="auto"/>
        <w:rPr>
          <w:rFonts w:ascii="Arial" w:eastAsia="Times New Roman" w:hAnsi="Arial" w:cs="Arial"/>
          <w:smallCaps/>
          <w:sz w:val="24"/>
          <w:szCs w:val="24"/>
          <w:lang w:eastAsia="es-MX"/>
        </w:rPr>
      </w:pPr>
    </w:p>
    <w:p w:rsidR="00E539D6" w:rsidRDefault="00E539D6" w:rsidP="00E539D6">
      <w:pPr>
        <w:spacing w:after="0" w:line="240" w:lineRule="auto"/>
        <w:rPr>
          <w:rFonts w:ascii="Arial" w:eastAsia="Times New Roman" w:hAnsi="Arial" w:cs="Arial"/>
          <w:smallCaps/>
          <w:sz w:val="24"/>
          <w:szCs w:val="24"/>
          <w:lang w:eastAsia="es-MX"/>
        </w:rPr>
      </w:pPr>
    </w:p>
    <w:p w:rsidR="00E539D6" w:rsidRDefault="00E539D6" w:rsidP="00E539D6">
      <w:pPr>
        <w:spacing w:after="0" w:line="240" w:lineRule="auto"/>
        <w:rPr>
          <w:rFonts w:ascii="Arial" w:eastAsia="Times New Roman" w:hAnsi="Arial" w:cs="Arial"/>
          <w:smallCaps/>
          <w:sz w:val="24"/>
          <w:szCs w:val="24"/>
          <w:lang w:eastAsia="es-MX"/>
        </w:rPr>
      </w:pPr>
    </w:p>
    <w:p w:rsidR="00E539D6"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3D52F0" w:rsidRDefault="00E539D6" w:rsidP="00E539D6">
      <w:pPr>
        <w:spacing w:after="0" w:line="240" w:lineRule="auto"/>
      </w:pPr>
    </w:p>
    <w:p w:rsidR="00F30734" w:rsidRPr="00E07967" w:rsidRDefault="00F30734" w:rsidP="00E539D6">
      <w:pPr>
        <w:spacing w:after="0" w:line="240" w:lineRule="auto"/>
      </w:pPr>
    </w:p>
    <w:sectPr w:rsidR="00F30734" w:rsidRPr="00E079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52" w:rsidRDefault="00D16A52" w:rsidP="00EF0F92">
      <w:pPr>
        <w:spacing w:after="0" w:line="240" w:lineRule="auto"/>
      </w:pPr>
      <w:r>
        <w:separator/>
      </w:r>
    </w:p>
  </w:endnote>
  <w:endnote w:type="continuationSeparator" w:id="0">
    <w:p w:rsidR="00D16A52" w:rsidRDefault="00D16A5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42D1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E5C8B">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42D1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52" w:rsidRDefault="00D16A52" w:rsidP="00EF0F92">
      <w:pPr>
        <w:spacing w:after="0" w:line="240" w:lineRule="auto"/>
      </w:pPr>
      <w:r>
        <w:separator/>
      </w:r>
    </w:p>
  </w:footnote>
  <w:footnote w:type="continuationSeparator" w:id="0">
    <w:p w:rsidR="00D16A52" w:rsidRDefault="00D16A5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3EB"/>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8B"/>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6A5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39D6"/>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2D17"/>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6294-702F-4200-BFA8-9D1010F5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2019-07-16T19:13:00Z</dcterms:modified>
</cp:coreProperties>
</file>