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2A" w:rsidRDefault="00D9152A" w:rsidP="00676674">
      <w:pPr>
        <w:spacing w:after="0" w:line="240" w:lineRule="auto"/>
        <w:rPr>
          <w:rFonts w:ascii="Arial" w:eastAsia="Times New Roman" w:hAnsi="Arial" w:cs="Arial"/>
          <w:smallCaps/>
          <w:sz w:val="24"/>
          <w:szCs w:val="24"/>
          <w:lang w:eastAsia="es-MX"/>
        </w:rPr>
      </w:pPr>
    </w:p>
    <w:p w:rsidR="00D558C4" w:rsidRPr="00A75F11" w:rsidRDefault="00D558C4" w:rsidP="00D558C4">
      <w:pPr>
        <w:shd w:val="clear" w:color="auto" w:fill="FDFCFC"/>
        <w:spacing w:before="100" w:beforeAutospacing="1" w:after="225" w:line="240" w:lineRule="auto"/>
        <w:jc w:val="both"/>
        <w:rPr>
          <w:rFonts w:ascii="Arial" w:eastAsia="Times New Roman" w:hAnsi="Arial" w:cs="Arial"/>
          <w:b/>
          <w:smallCaps/>
          <w:sz w:val="28"/>
          <w:szCs w:val="24"/>
          <w:lang w:eastAsia="es-MX"/>
        </w:rPr>
      </w:pPr>
      <w:r w:rsidRPr="00A75F11">
        <w:rPr>
          <w:rFonts w:ascii="Arial" w:eastAsia="Times New Roman" w:hAnsi="Arial" w:cs="Arial"/>
          <w:b/>
          <w:smallCaps/>
          <w:sz w:val="28"/>
          <w:szCs w:val="24"/>
          <w:lang w:eastAsia="es-MX"/>
        </w:rPr>
        <w:t xml:space="preserve">Líder Coordinador De Proyecto De Ventanilla Única </w:t>
      </w:r>
      <w:r>
        <w:rPr>
          <w:rFonts w:ascii="Arial" w:eastAsia="Times New Roman" w:hAnsi="Arial" w:cs="Arial"/>
          <w:b/>
          <w:smallCaps/>
          <w:sz w:val="28"/>
          <w:szCs w:val="24"/>
          <w:lang w:eastAsia="es-MX"/>
        </w:rPr>
        <w:t>B</w:t>
      </w:r>
      <w:bookmarkStart w:id="0" w:name="_GoBack"/>
      <w:bookmarkEnd w:id="0"/>
    </w:p>
    <w:p w:rsidR="00D558C4" w:rsidRPr="004606B8" w:rsidRDefault="00D558C4" w:rsidP="00D558C4">
      <w:pPr>
        <w:spacing w:after="0" w:line="240" w:lineRule="auto"/>
        <w:rPr>
          <w:rFonts w:ascii="Arial" w:eastAsia="Calibri" w:hAnsi="Arial" w:cs="Arial"/>
          <w:b/>
          <w:smallCaps/>
          <w:sz w:val="24"/>
          <w:szCs w:val="24"/>
          <w:lang w:eastAsia="es-MX"/>
        </w:rPr>
      </w:pPr>
      <w:r w:rsidRPr="00676674">
        <w:rPr>
          <w:rFonts w:ascii="Arial" w:eastAsia="Times New Roman" w:hAnsi="Arial" w:cs="Arial"/>
          <w:smallCaps/>
          <w:sz w:val="24"/>
          <w:szCs w:val="24"/>
          <w:lang w:eastAsia="es-MX"/>
        </w:rPr>
        <w:br/>
      </w:r>
      <w:r w:rsidRPr="004606B8">
        <w:rPr>
          <w:rFonts w:ascii="Arial" w:eastAsia="Calibri" w:hAnsi="Arial" w:cs="Arial"/>
          <w:b/>
          <w:smallCaps/>
          <w:sz w:val="24"/>
          <w:szCs w:val="24"/>
          <w:lang w:eastAsia="es-MX"/>
        </w:rPr>
        <w:t>Perfil del Puesto</w:t>
      </w:r>
    </w:p>
    <w:p w:rsidR="00D558C4" w:rsidRPr="004606B8" w:rsidRDefault="00D558C4" w:rsidP="00D558C4">
      <w:pPr>
        <w:spacing w:after="0" w:line="240" w:lineRule="auto"/>
        <w:rPr>
          <w:rFonts w:ascii="Arial" w:eastAsia="Calibri" w:hAnsi="Arial" w:cs="Arial"/>
          <w:b/>
          <w:smallCaps/>
          <w:sz w:val="24"/>
          <w:szCs w:val="24"/>
          <w:lang w:eastAsia="es-MX"/>
        </w:rPr>
      </w:pPr>
    </w:p>
    <w:p w:rsidR="00D558C4" w:rsidRPr="004606B8" w:rsidRDefault="00D558C4" w:rsidP="00D558C4">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D558C4" w:rsidRPr="004606B8" w:rsidRDefault="00D558C4" w:rsidP="00D558C4">
      <w:pPr>
        <w:spacing w:after="0" w:line="240" w:lineRule="auto"/>
        <w:rPr>
          <w:rFonts w:ascii="Arial" w:eastAsia="Calibri" w:hAnsi="Arial" w:cs="Arial"/>
          <w:b/>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Si alguno de los miembros dejare de desempeñar su cargo, será sustituido por su suplente, o se procederá según lo disponga la ley.</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736BF3">
        <w:rPr>
          <w:rFonts w:ascii="Arial" w:eastAsia="Calibri" w:hAnsi="Arial" w:cs="Arial"/>
          <w:smallCaps/>
          <w:sz w:val="24"/>
          <w:szCs w:val="24"/>
          <w:lang w:eastAsia="es-MX"/>
        </w:rPr>
        <w:lastRenderedPageBreak/>
        <w:t xml:space="preserve">integrados por el número de miembros que determine la ley, quienes deberán cumplir los requisitos de elegibilidad establecidos para los regidores; </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4606B8" w:rsidRDefault="00D558C4" w:rsidP="00D558C4">
      <w:pPr>
        <w:spacing w:after="0" w:line="240" w:lineRule="auto"/>
        <w:rPr>
          <w:rFonts w:ascii="Arial" w:eastAsia="Calibri" w:hAnsi="Arial" w:cs="Arial"/>
          <w:b/>
          <w:smallCaps/>
          <w:sz w:val="24"/>
          <w:szCs w:val="24"/>
          <w:lang w:eastAsia="es-MX"/>
        </w:rPr>
      </w:pPr>
    </w:p>
    <w:p w:rsidR="00D558C4" w:rsidRPr="004606B8" w:rsidRDefault="00D558C4" w:rsidP="00D558C4">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LA CIUDAD DE MEXICO</w:t>
      </w:r>
    </w:p>
    <w:p w:rsidR="00D558C4" w:rsidRPr="004606B8" w:rsidRDefault="00D558C4" w:rsidP="00D558C4">
      <w:pPr>
        <w:spacing w:after="0" w:line="240" w:lineRule="auto"/>
        <w:rPr>
          <w:rFonts w:ascii="Arial" w:eastAsia="Calibri" w:hAnsi="Arial" w:cs="Arial"/>
          <w:b/>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53</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Alcaldías</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la integración, organización y facultades de las alcaldías</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B. De las personas titulares de las alcaldías</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3. Las personas titulares de las alcaldías tendrán las siguientes atribuciones:</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 De manera exclusiva:</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558C4" w:rsidRPr="004606B8" w:rsidRDefault="00D558C4" w:rsidP="00D558C4">
      <w:pPr>
        <w:spacing w:after="0" w:line="240" w:lineRule="auto"/>
        <w:rPr>
          <w:rFonts w:ascii="Arial" w:eastAsia="Calibri" w:hAnsi="Arial" w:cs="Arial"/>
          <w:b/>
          <w:smallCaps/>
          <w:sz w:val="24"/>
          <w:szCs w:val="24"/>
          <w:lang w:eastAsia="es-MX"/>
        </w:rPr>
      </w:pPr>
    </w:p>
    <w:p w:rsidR="00D558C4" w:rsidRPr="004606B8" w:rsidRDefault="00D558C4" w:rsidP="00D558C4">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LEY ORGÁNICA DE ALCALDÍAS DE LA CIUDAD DE MÉXICO</w:t>
      </w:r>
    </w:p>
    <w:p w:rsidR="00D558C4" w:rsidRPr="004606B8" w:rsidRDefault="00D558C4" w:rsidP="00D558C4">
      <w:pPr>
        <w:spacing w:after="0" w:line="240" w:lineRule="auto"/>
        <w:rPr>
          <w:rFonts w:ascii="Arial" w:eastAsia="Calibri" w:hAnsi="Arial" w:cs="Arial"/>
          <w:b/>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31. Las atribuciones exclusivas de las personas titulares de las Alcaldías en materia de gobierno y régimen interior, son las siguientes:</w:t>
      </w: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El Manual de organización será remitido por la persona titular de la Alcaldía, al ejecutivo local para su publicación en la Gaceta Oficial de la Ciudad de México.</w:t>
      </w:r>
    </w:p>
    <w:p w:rsidR="00D558C4" w:rsidRPr="00736BF3" w:rsidRDefault="00D558C4" w:rsidP="00D558C4">
      <w:pPr>
        <w:spacing w:after="0" w:line="240" w:lineRule="auto"/>
        <w:jc w:val="both"/>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Alcaldías deberán contar por lo menos con las siguientes Unidades Administrativas:</w:t>
      </w: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 Gobierno;</w:t>
      </w:r>
    </w:p>
    <w:p w:rsidR="00D558C4" w:rsidRPr="00736BF3" w:rsidRDefault="00D558C4" w:rsidP="00D558C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 Asuntos Jurídicos;</w:t>
      </w:r>
    </w:p>
    <w:p w:rsidR="00D558C4" w:rsidRPr="00736BF3" w:rsidRDefault="00D558C4" w:rsidP="00D558C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III. Administración;</w:t>
      </w:r>
    </w:p>
    <w:p w:rsidR="00D558C4" w:rsidRPr="00736BF3" w:rsidRDefault="00D558C4" w:rsidP="00D558C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IV. Obras y Desarrollo Urbano;</w:t>
      </w:r>
    </w:p>
    <w:p w:rsidR="00D558C4" w:rsidRPr="00736BF3" w:rsidRDefault="00D558C4" w:rsidP="00D558C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 Servicios Urbanos;</w:t>
      </w:r>
    </w:p>
    <w:p w:rsidR="00D558C4" w:rsidRPr="00736BF3" w:rsidRDefault="00D558C4" w:rsidP="00D558C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 Planeación del Desarrollo;</w:t>
      </w:r>
    </w:p>
    <w:p w:rsidR="00D558C4" w:rsidRPr="00736BF3" w:rsidRDefault="00D558C4" w:rsidP="00D558C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 Desarrollo Social.</w:t>
      </w:r>
    </w:p>
    <w:p w:rsidR="00D558C4" w:rsidRPr="00736BF3" w:rsidRDefault="00D558C4" w:rsidP="00D558C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VIII. Desarrollo y Fomento Económico;</w:t>
      </w: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IX. Protección Civil;</w:t>
      </w:r>
    </w:p>
    <w:p w:rsidR="00D558C4" w:rsidRPr="00736BF3" w:rsidRDefault="00D558C4" w:rsidP="00D558C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 Participación Ciudadana;</w:t>
      </w:r>
    </w:p>
    <w:p w:rsidR="00D558C4" w:rsidRPr="00736BF3" w:rsidRDefault="00D558C4" w:rsidP="00D558C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 Sustentabilidad;</w:t>
      </w:r>
    </w:p>
    <w:p w:rsidR="00D558C4" w:rsidRPr="00736BF3" w:rsidRDefault="00D558C4" w:rsidP="00D558C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 Derechos Culturales, Recreativos y Educativos.</w:t>
      </w:r>
    </w:p>
    <w:p w:rsidR="00D558C4" w:rsidRPr="00736BF3" w:rsidRDefault="00D558C4" w:rsidP="00D558C4">
      <w:pPr>
        <w:spacing w:after="0" w:line="240" w:lineRule="auto"/>
        <w:rPr>
          <w:rFonts w:ascii="Arial" w:eastAsia="Calibri" w:hAnsi="Arial" w:cs="Arial"/>
          <w:smallCaps/>
          <w:sz w:val="24"/>
          <w:szCs w:val="24"/>
          <w:lang w:eastAsia="es-MX"/>
        </w:rPr>
      </w:pPr>
      <w:r w:rsidRPr="00736BF3">
        <w:rPr>
          <w:rFonts w:ascii="Arial" w:eastAsia="Calibri" w:hAnsi="Arial" w:cs="Arial"/>
          <w:smallCaps/>
          <w:sz w:val="24"/>
          <w:szCs w:val="24"/>
          <w:lang w:eastAsia="es-MX"/>
        </w:rPr>
        <w:t>XIII. Fomento a la Equidad de Género;</w:t>
      </w: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Las unidades administrativas podrán ejercer de manera conjunta o separada las materias descritas en las fracciones del presente Artículo.</w:t>
      </w:r>
    </w:p>
    <w:p w:rsidR="00D558C4" w:rsidRPr="004606B8" w:rsidRDefault="00D558C4" w:rsidP="00D558C4">
      <w:pPr>
        <w:spacing w:after="0" w:line="240" w:lineRule="auto"/>
        <w:rPr>
          <w:rFonts w:ascii="Arial" w:eastAsia="Calibri" w:hAnsi="Arial" w:cs="Arial"/>
          <w:b/>
          <w:smallCaps/>
          <w:sz w:val="24"/>
          <w:szCs w:val="24"/>
          <w:lang w:eastAsia="es-MX"/>
        </w:rPr>
      </w:pPr>
    </w:p>
    <w:p w:rsidR="00D558C4" w:rsidRPr="004606B8" w:rsidRDefault="00D558C4" w:rsidP="00D558C4">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REGLAMENTO INTERIOR DEL PODER EJECUTIVO Y DE LA ADMINISTRACIÓN PÚBLICA DE LA CIUDAD DE MÉXICO</w:t>
      </w:r>
    </w:p>
    <w:p w:rsidR="00D558C4" w:rsidRPr="004606B8" w:rsidRDefault="00D558C4" w:rsidP="00D558C4">
      <w:pPr>
        <w:spacing w:after="0" w:line="240" w:lineRule="auto"/>
        <w:rPr>
          <w:rFonts w:ascii="Arial" w:eastAsia="Calibri" w:hAnsi="Arial" w:cs="Arial"/>
          <w:b/>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Artículo 5°. - Además de las facultades que establece la Ley, los titulares de las Dependencias tienen las siguientes facultades:</w:t>
      </w:r>
    </w:p>
    <w:p w:rsidR="00D558C4" w:rsidRPr="00736BF3" w:rsidRDefault="00D558C4" w:rsidP="00D558C4">
      <w:pPr>
        <w:spacing w:after="0" w:line="240" w:lineRule="auto"/>
        <w:rPr>
          <w:rFonts w:ascii="Arial" w:eastAsia="Calibri" w:hAnsi="Arial" w:cs="Arial"/>
          <w:smallCaps/>
          <w:sz w:val="24"/>
          <w:szCs w:val="24"/>
          <w:lang w:eastAsia="es-MX"/>
        </w:rPr>
      </w:pPr>
    </w:p>
    <w:p w:rsidR="00D558C4" w:rsidRPr="00736BF3" w:rsidRDefault="00D558C4" w:rsidP="00D558C4">
      <w:pPr>
        <w:spacing w:after="0" w:line="240" w:lineRule="auto"/>
        <w:jc w:val="both"/>
        <w:rPr>
          <w:rFonts w:ascii="Arial" w:eastAsia="Calibri" w:hAnsi="Arial" w:cs="Arial"/>
          <w:smallCaps/>
          <w:sz w:val="24"/>
          <w:szCs w:val="24"/>
          <w:lang w:eastAsia="es-MX"/>
        </w:rPr>
      </w:pPr>
      <w:r w:rsidRPr="00736BF3">
        <w:rPr>
          <w:rFonts w:ascii="Arial" w:eastAsia="Calibri" w:hAnsi="Arial" w:cs="Arial"/>
          <w:smallCaps/>
          <w:sz w:val="24"/>
          <w:szCs w:val="24"/>
          <w:lang w:eastAsia="es-MX"/>
        </w:rPr>
        <w:t>IV. Nombrar y remover libremente a los Directores Ejecutivos, Directores de Área y demás personal de las Unidades Administrativas y de Apoyo Técnico-Operativo dependiente de las áreas adscritas a ellas.</w:t>
      </w:r>
    </w:p>
    <w:p w:rsidR="00D558C4" w:rsidRPr="004606B8" w:rsidRDefault="00D558C4" w:rsidP="00D558C4">
      <w:pPr>
        <w:spacing w:after="0" w:line="240" w:lineRule="auto"/>
        <w:rPr>
          <w:rFonts w:ascii="Arial" w:eastAsia="Calibri" w:hAnsi="Arial" w:cs="Arial"/>
          <w:b/>
          <w:smallCaps/>
          <w:sz w:val="24"/>
          <w:szCs w:val="24"/>
          <w:lang w:eastAsia="es-MX"/>
        </w:rPr>
      </w:pPr>
    </w:p>
    <w:p w:rsidR="00D558C4" w:rsidRPr="00072F96" w:rsidRDefault="00D558C4" w:rsidP="00D558C4">
      <w:pPr>
        <w:jc w:val="both"/>
        <w:rPr>
          <w:rFonts w:ascii="Arial" w:hAnsi="Arial" w:cs="Arial"/>
          <w:b/>
          <w:caps/>
          <w:sz w:val="24"/>
          <w:szCs w:val="24"/>
          <w:lang w:eastAsia="es-MX"/>
        </w:rPr>
      </w:pPr>
      <w:r w:rsidRPr="00072F96">
        <w:rPr>
          <w:rFonts w:ascii="Arial" w:hAnsi="Arial" w:cs="Arial"/>
          <w:b/>
          <w:caps/>
          <w:sz w:val="24"/>
          <w:szCs w:val="24"/>
          <w:lang w:eastAsia="es-MX"/>
        </w:rPr>
        <w:t xml:space="preserve">Lineamientos mediante los que se establece el modelo integral de atención ciudadana de la Administración Pública de la Ciudad de México </w:t>
      </w:r>
      <w:r w:rsidRPr="00072F96">
        <w:rPr>
          <w:rFonts w:ascii="Arial" w:hAnsi="Arial" w:cs="Arial"/>
          <w:caps/>
          <w:sz w:val="24"/>
          <w:szCs w:val="24"/>
          <w:lang w:eastAsia="es-MX"/>
        </w:rPr>
        <w:t xml:space="preserve">(Emitidos por la Agencia Digital de Innovación Pública del Gobierno de la Ciudad de México, publicada en la Gaceta Oficial de la Ciudad de México del 2 de julio del 2019)                                                               </w:t>
      </w:r>
    </w:p>
    <w:p w:rsidR="00D558C4"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21.-Reclutamiento, evaluación, selección y contratación del personal de atención ciudadana de las AAC, en las modalidades presencial, telefónica y digital.</w:t>
      </w:r>
    </w:p>
    <w:p w:rsidR="00D558C4" w:rsidRDefault="00D558C4" w:rsidP="00D558C4">
      <w:pPr>
        <w:pStyle w:val="Sinespaciado"/>
        <w:jc w:val="both"/>
        <w:rPr>
          <w:rFonts w:ascii="Arial" w:hAnsi="Arial" w:cs="Arial"/>
          <w:sz w:val="24"/>
          <w:szCs w:val="24"/>
          <w:lang w:eastAsia="es-MX"/>
        </w:rPr>
      </w:pPr>
    </w:p>
    <w:p w:rsidR="00D558C4" w:rsidRDefault="00D558C4" w:rsidP="00D558C4">
      <w:pPr>
        <w:pStyle w:val="Sinespaciado"/>
        <w:jc w:val="both"/>
        <w:rPr>
          <w:rFonts w:ascii="Arial" w:hAnsi="Arial" w:cs="Arial"/>
          <w:sz w:val="24"/>
          <w:szCs w:val="24"/>
          <w:lang w:eastAsia="es-MX"/>
        </w:rPr>
      </w:pPr>
    </w:p>
    <w:p w:rsidR="00D558C4" w:rsidRDefault="00D558C4" w:rsidP="00D558C4">
      <w:pPr>
        <w:pStyle w:val="Sinespaciado"/>
        <w:jc w:val="both"/>
        <w:rPr>
          <w:rFonts w:ascii="Arial" w:hAnsi="Arial" w:cs="Arial"/>
          <w:sz w:val="24"/>
          <w:szCs w:val="24"/>
          <w:lang w:eastAsia="es-MX"/>
        </w:rPr>
      </w:pP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21.1. El proceso de reclutamiento, evaluación, selección y contratación del Personal de Atención Ciudadana estará a cargo de las DGA</w:t>
      </w:r>
      <w:r>
        <w:rPr>
          <w:rFonts w:ascii="Arial" w:hAnsi="Arial" w:cs="Arial"/>
          <w:sz w:val="24"/>
          <w:szCs w:val="24"/>
          <w:lang w:eastAsia="es-MX"/>
        </w:rPr>
        <w:t xml:space="preserve"> </w:t>
      </w:r>
      <w:r w:rsidRPr="00072F96">
        <w:rPr>
          <w:rFonts w:ascii="Arial" w:hAnsi="Arial" w:cs="Arial"/>
          <w:sz w:val="24"/>
          <w:szCs w:val="24"/>
          <w:lang w:eastAsia="es-MX"/>
        </w:rPr>
        <w:t>de los Entes Públicos.</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21.2. Los aspirantes a ocupar vacantes en las AAC deberán cumplir como mínimo con los siguientes requisitos:</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A. Perfil escolar</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lang w:eastAsia="es-MX"/>
        </w:rPr>
        <w:t xml:space="preserve"> </w:t>
      </w:r>
      <w:r w:rsidRPr="00072F96">
        <w:rPr>
          <w:rFonts w:ascii="Arial" w:hAnsi="Arial" w:cs="Arial"/>
          <w:sz w:val="24"/>
          <w:szCs w:val="24"/>
          <w:lang w:eastAsia="es-MX"/>
        </w:rPr>
        <w:t xml:space="preserve">relacionado con 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lang w:eastAsia="es-MX"/>
        </w:rPr>
        <w:t xml:space="preserve"> </w:t>
      </w:r>
      <w:r w:rsidRPr="00072F96">
        <w:rPr>
          <w:rFonts w:ascii="Arial" w:hAnsi="Arial" w:cs="Arial"/>
          <w:sz w:val="24"/>
          <w:szCs w:val="24"/>
          <w:lang w:eastAsia="es-MX"/>
        </w:rPr>
        <w:t xml:space="preserve">temas de mejora </w:t>
      </w:r>
      <w:proofErr w:type="gramStart"/>
      <w:r w:rsidRPr="00072F96">
        <w:rPr>
          <w:rFonts w:ascii="Arial" w:hAnsi="Arial" w:cs="Arial"/>
          <w:sz w:val="24"/>
          <w:szCs w:val="24"/>
          <w:lang w:eastAsia="es-MX"/>
        </w:rPr>
        <w:t>continua</w:t>
      </w:r>
      <w:proofErr w:type="gramEnd"/>
      <w:r w:rsidRPr="00072F96">
        <w:rPr>
          <w:rFonts w:ascii="Arial" w:hAnsi="Arial" w:cs="Arial"/>
          <w:sz w:val="24"/>
          <w:szCs w:val="24"/>
          <w:lang w:eastAsia="es-MX"/>
        </w:rPr>
        <w:t xml:space="preserve"> de la calidad. Para Operadores de VUT, CESAC, y AAC. Deseable experiencia laboral en puestos afines, preferentemente en la Administración Pública;</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III. Para responsables de VUT, CESAC y AAC. Experiencia laboral mínima de 1 año en puestos de mando, deseable experiencia laboral en puestos afines.</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IV. Manejo de paquetería ofimática e Internet.</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V. Buena redacción y ortografía.</w:t>
      </w:r>
    </w:p>
    <w:p w:rsidR="00D558C4" w:rsidRDefault="00D558C4" w:rsidP="00D558C4">
      <w:pPr>
        <w:pStyle w:val="Sinespaciado"/>
        <w:jc w:val="both"/>
        <w:rPr>
          <w:rFonts w:ascii="Arial" w:hAnsi="Arial" w:cs="Arial"/>
          <w:sz w:val="24"/>
          <w:szCs w:val="24"/>
          <w:lang w:eastAsia="es-MX"/>
        </w:rPr>
      </w:pPr>
    </w:p>
    <w:p w:rsidR="00D558C4"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lang w:eastAsia="es-MX"/>
        </w:rPr>
        <w:t xml:space="preserve"> </w:t>
      </w:r>
      <w:r w:rsidRPr="00072F96">
        <w:rPr>
          <w:rFonts w:ascii="Arial" w:hAnsi="Arial" w:cs="Arial"/>
          <w:sz w:val="24"/>
          <w:szCs w:val="24"/>
          <w:lang w:eastAsia="es-MX"/>
        </w:rPr>
        <w:t xml:space="preserve">experiencia comprobable, operando, apoyando o realizando actividades relacionadas con la atención ciudadana, así como el visto bueno del RAAC de los Entes Públicos. </w:t>
      </w:r>
    </w:p>
    <w:p w:rsidR="00D558C4" w:rsidRDefault="00D558C4" w:rsidP="00D558C4">
      <w:pPr>
        <w:pStyle w:val="Sinespaciado"/>
        <w:jc w:val="both"/>
        <w:rPr>
          <w:rFonts w:ascii="Arial" w:hAnsi="Arial" w:cs="Arial"/>
          <w:sz w:val="24"/>
          <w:szCs w:val="24"/>
          <w:lang w:eastAsia="es-MX"/>
        </w:rPr>
      </w:pPr>
    </w:p>
    <w:p w:rsidR="00D558C4"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Para tales efectos, el RAAC deberá adjuntar oficio de justificación y visto</w:t>
      </w:r>
      <w:r>
        <w:rPr>
          <w:rFonts w:ascii="Arial" w:hAnsi="Arial" w:cs="Arial"/>
          <w:sz w:val="24"/>
          <w:szCs w:val="24"/>
          <w:lang w:eastAsia="es-MX"/>
        </w:rPr>
        <w:t xml:space="preserve"> </w:t>
      </w:r>
      <w:r w:rsidRPr="00072F96">
        <w:rPr>
          <w:rFonts w:ascii="Arial" w:hAnsi="Arial" w:cs="Arial"/>
          <w:sz w:val="24"/>
          <w:szCs w:val="24"/>
          <w:lang w:eastAsia="es-MX"/>
        </w:rPr>
        <w:t xml:space="preserve">bueno adjunto al Formato de Registro del Personal Evaluado y/o al Formato de Registro de Personal. </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La compensación de experiencia por perfil escolar no deberá en ningún caso omitir los procesos de evaluación para el ingreso de personal a las</w:t>
      </w:r>
      <w:r>
        <w:rPr>
          <w:rFonts w:ascii="Arial" w:hAnsi="Arial" w:cs="Arial"/>
          <w:sz w:val="24"/>
          <w:szCs w:val="24"/>
          <w:lang w:eastAsia="es-MX"/>
        </w:rPr>
        <w:t xml:space="preserve"> </w:t>
      </w:r>
      <w:r w:rsidRPr="00072F96">
        <w:rPr>
          <w:rFonts w:ascii="Arial" w:hAnsi="Arial" w:cs="Arial"/>
          <w:sz w:val="24"/>
          <w:szCs w:val="24"/>
          <w:lang w:eastAsia="es-MX"/>
        </w:rPr>
        <w:t>AAC.</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B. Perfil personal</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I. Modalidad de atención Presencial:</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1. Actitud de servicio para brindar atención al público;</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2. Facilidad de comunicación verbal oral y escrita;</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3. Apego a reglas y procedimientos;</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4. Presentación acorde a la vestimenta institucional (uniforme aprobado por el Manual de Identidad Gráfica de las AAC); y</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5. Para el Responsable de VUT, CESAC y AAC, habilidad de supervisión de personal</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II. Modalidad de Atención Digital:</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el numeral 21,</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1. Excelente redacción y ortografía; y</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2. Experiencia o formación en administración de medios digitales y uso de tecnologías digitales (ordenadores, tabletas, teléfonos inteligentes, navegadores web, aplicaciones, etc.)</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III. Modalidad de Atención Telefónica:</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Adicionalmente a los requisitos establecidos en la en el numeral 21,</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1. Tono de voz con timbre agradable, y</w:t>
      </w:r>
    </w:p>
    <w:p w:rsidR="00D558C4" w:rsidRDefault="00D558C4" w:rsidP="00D558C4">
      <w:pPr>
        <w:pStyle w:val="Sinespaciado"/>
        <w:jc w:val="both"/>
        <w:rPr>
          <w:rFonts w:ascii="Arial" w:hAnsi="Arial" w:cs="Arial"/>
          <w:sz w:val="24"/>
          <w:szCs w:val="24"/>
          <w:lang w:eastAsia="es-MX"/>
        </w:rPr>
      </w:pPr>
    </w:p>
    <w:p w:rsidR="00D558C4" w:rsidRPr="00072F96" w:rsidRDefault="00D558C4" w:rsidP="00D558C4">
      <w:pPr>
        <w:pStyle w:val="Sinespaciado"/>
        <w:jc w:val="both"/>
        <w:rPr>
          <w:rFonts w:ascii="Arial" w:hAnsi="Arial" w:cs="Arial"/>
          <w:sz w:val="24"/>
          <w:szCs w:val="24"/>
          <w:lang w:eastAsia="es-MX"/>
        </w:rPr>
      </w:pPr>
      <w:r w:rsidRPr="00072F96">
        <w:rPr>
          <w:rFonts w:ascii="Arial" w:hAnsi="Arial" w:cs="Arial"/>
          <w:sz w:val="24"/>
          <w:szCs w:val="24"/>
          <w:lang w:eastAsia="es-MX"/>
        </w:rPr>
        <w:t>2. Pronunciación adecuada, hablar con correcta nitidez, articulación y vocalización</w:t>
      </w:r>
      <w:r>
        <w:rPr>
          <w:rFonts w:ascii="Arial" w:hAnsi="Arial" w:cs="Arial"/>
          <w:sz w:val="24"/>
          <w:szCs w:val="24"/>
          <w:lang w:eastAsia="es-MX"/>
        </w:rPr>
        <w:t>.</w:t>
      </w:r>
    </w:p>
    <w:p w:rsidR="00F30734" w:rsidRPr="00676674" w:rsidRDefault="00F30734" w:rsidP="00D558C4">
      <w:pPr>
        <w:spacing w:after="0" w:line="240" w:lineRule="auto"/>
      </w:pPr>
    </w:p>
    <w:sectPr w:rsidR="00F3073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08" w:rsidRDefault="00111608" w:rsidP="00EF0F92">
      <w:pPr>
        <w:spacing w:after="0" w:line="240" w:lineRule="auto"/>
      </w:pPr>
      <w:r>
        <w:separator/>
      </w:r>
    </w:p>
  </w:endnote>
  <w:endnote w:type="continuationSeparator" w:id="0">
    <w:p w:rsidR="00111608" w:rsidRDefault="0011160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1160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1160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08" w:rsidRDefault="00111608" w:rsidP="00EF0F92">
      <w:pPr>
        <w:spacing w:after="0" w:line="240" w:lineRule="auto"/>
      </w:pPr>
      <w:r>
        <w:separator/>
      </w:r>
    </w:p>
  </w:footnote>
  <w:footnote w:type="continuationSeparator" w:id="0">
    <w:p w:rsidR="00111608" w:rsidRDefault="0011160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608"/>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7B3"/>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5B1"/>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106"/>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6EDA"/>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2A5B"/>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0D"/>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E84"/>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58C4"/>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EE3"/>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2A"/>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5D9E"/>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7F9"/>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2D4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C4"/>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05EE-AB90-46D1-9A60-B1720AE5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6</Pages>
  <Words>1613</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198</cp:revision>
  <cp:lastPrinted>2019-01-30T17:57:00Z</cp:lastPrinted>
  <dcterms:created xsi:type="dcterms:W3CDTF">2019-01-21T14:46:00Z</dcterms:created>
  <dcterms:modified xsi:type="dcterms:W3CDTF">2019-10-14T22:51:00Z</dcterms:modified>
</cp:coreProperties>
</file>