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D8" w:rsidRDefault="00B832D8" w:rsidP="00B832D8">
      <w:pPr>
        <w:tabs>
          <w:tab w:val="left" w:pos="1170"/>
        </w:tabs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</w:p>
    <w:p w:rsidR="006C7CD3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  <w:r>
        <w:rPr>
          <w:rFonts w:ascii="Bell MT" w:eastAsia="Calibri" w:hAnsi="Bell MT" w:cs="Times New Roman"/>
          <w:sz w:val="30"/>
          <w:szCs w:val="30"/>
        </w:rPr>
        <w:t xml:space="preserve">A </w:t>
      </w:r>
      <w:r w:rsidRPr="00B832D8">
        <w:rPr>
          <w:rFonts w:ascii="Bell MT" w:eastAsia="Calibri" w:hAnsi="Bell MT" w:cs="Times New Roman"/>
          <w:sz w:val="30"/>
          <w:szCs w:val="30"/>
        </w:rPr>
        <w:t>efectos de dar cumplimiento a lo establecido en el artículo 12</w:t>
      </w:r>
      <w:r w:rsidR="00F43CBB">
        <w:rPr>
          <w:rFonts w:ascii="Bell MT" w:eastAsia="Calibri" w:hAnsi="Bell MT" w:cs="Times New Roman"/>
          <w:sz w:val="30"/>
          <w:szCs w:val="30"/>
        </w:rPr>
        <w:t>4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, fracción </w:t>
      </w:r>
      <w:r w:rsidR="006C7CD3">
        <w:rPr>
          <w:rFonts w:ascii="Bell MT" w:eastAsia="Calibri" w:hAnsi="Bell MT" w:cs="Times New Roman"/>
          <w:sz w:val="30"/>
          <w:szCs w:val="30"/>
        </w:rPr>
        <w:t>21</w:t>
      </w:r>
      <w:r>
        <w:rPr>
          <w:rFonts w:ascii="Bell MT" w:eastAsia="Calibri" w:hAnsi="Bell MT" w:cs="Times New Roman"/>
          <w:sz w:val="30"/>
          <w:szCs w:val="30"/>
        </w:rPr>
        <w:t xml:space="preserve"> 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de la Ley de Transparencia, Acceso a la Información Pública y Rendición de Cuentas de la Ciudad de México, Sistema de Portales de Obligaciones de Transparencia (SIPOT), donde se requiere, </w:t>
      </w:r>
      <w:r w:rsidR="006C7CD3">
        <w:rPr>
          <w:rFonts w:ascii="Bell MT" w:eastAsia="Calibri" w:hAnsi="Bell MT" w:cs="Times New Roman"/>
          <w:sz w:val="30"/>
          <w:szCs w:val="30"/>
        </w:rPr>
        <w:t xml:space="preserve">los </w:t>
      </w:r>
      <w:bookmarkStart w:id="0" w:name="_GoBack"/>
      <w:bookmarkEnd w:id="0"/>
      <w:r w:rsidR="006C7CD3">
        <w:rPr>
          <w:rFonts w:ascii="Bell MT" w:eastAsia="Calibri" w:hAnsi="Bell MT" w:cs="Times New Roman"/>
          <w:sz w:val="30"/>
          <w:szCs w:val="30"/>
        </w:rPr>
        <w:t>programas y acciones.</w:t>
      </w:r>
    </w:p>
    <w:p w:rsidR="00490116" w:rsidRDefault="00490116" w:rsidP="00490116">
      <w:pPr>
        <w:jc w:val="both"/>
        <w:rPr>
          <w:rFonts w:ascii="Bell MT" w:hAnsi="Bell MT"/>
          <w:sz w:val="30"/>
          <w:szCs w:val="30"/>
        </w:rPr>
      </w:pPr>
    </w:p>
    <w:p w:rsidR="00490116" w:rsidRDefault="00490116" w:rsidP="00490116">
      <w:pPr>
        <w:jc w:val="both"/>
        <w:rPr>
          <w:rFonts w:ascii="Bell MT" w:hAnsi="Bell MT"/>
          <w:sz w:val="30"/>
          <w:szCs w:val="30"/>
        </w:rPr>
      </w:pPr>
    </w:p>
    <w:p w:rsidR="00351249" w:rsidRPr="00490116" w:rsidRDefault="00490116" w:rsidP="00490116">
      <w:pPr>
        <w:jc w:val="both"/>
        <w:rPr>
          <w:rFonts w:ascii="Bell MT" w:hAnsi="Bell MT"/>
          <w:sz w:val="30"/>
          <w:szCs w:val="30"/>
        </w:rPr>
      </w:pPr>
      <w:r w:rsidRPr="00490116">
        <w:rPr>
          <w:rFonts w:ascii="Bell MT" w:hAnsi="Bell MT"/>
          <w:sz w:val="30"/>
          <w:szCs w:val="30"/>
        </w:rPr>
        <w:t xml:space="preserve">La Dirección de Atención y Desarrollo a la Mujer, ha realizado acciones de acuerdo a su plan de trabajo como Se informa que, durante el periodo que se reporta, la Dirección General de Desarrollo Social a través de la Dirección de Atención y Desarrollo a la Mujer no ha realizado programas sociales, que representen un gasto presupuestal en el presente ejercicio fiscal, empero, ha realizado acciones de acuerdo a su plan de trabajo como: asesorías jurídicas y psicológicas gratuitas; talleres con perspectiva de género, violencia en la familia, tipos de crianza; derechos humanos, liderazgo para niñas; actividades deportivas, difusión de información cuyo objetivo es coadyuvar a erradicar la brecha de desigualdad entre mujeres y hombres.  </w:t>
      </w:r>
    </w:p>
    <w:sectPr w:rsidR="00351249" w:rsidRPr="00490116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00" w:rsidRDefault="00F43CBB">
      <w:pPr>
        <w:spacing w:after="0" w:line="240" w:lineRule="auto"/>
      </w:pPr>
      <w:r>
        <w:separator/>
      </w:r>
    </w:p>
  </w:endnote>
  <w:endnote w:type="continuationSeparator" w:id="0">
    <w:p w:rsidR="002B7D00" w:rsidRDefault="00F4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00" w:rsidRDefault="00F43CBB">
      <w:pPr>
        <w:spacing w:after="0" w:line="240" w:lineRule="auto"/>
      </w:pPr>
      <w:r>
        <w:separator/>
      </w:r>
    </w:p>
  </w:footnote>
  <w:footnote w:type="continuationSeparator" w:id="0">
    <w:p w:rsidR="002B7D00" w:rsidRDefault="00F4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61" w:rsidRDefault="00B832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D349BD" wp14:editId="34C0AF2D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D312E" wp14:editId="182497C4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490116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D3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7D27A9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94"/>
    <w:rsid w:val="002B7D00"/>
    <w:rsid w:val="00351249"/>
    <w:rsid w:val="00490116"/>
    <w:rsid w:val="006C7CD3"/>
    <w:rsid w:val="007D27A9"/>
    <w:rsid w:val="00B832D8"/>
    <w:rsid w:val="00DE5B94"/>
    <w:rsid w:val="00F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B89E"/>
  <w15:docId w15:val="{99C24BF8-7C14-47EC-BE2E-F09D119A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Mercado Estrada</dc:creator>
  <cp:keywords/>
  <dc:description/>
  <cp:lastModifiedBy>Administrador</cp:lastModifiedBy>
  <cp:revision>2</cp:revision>
  <dcterms:created xsi:type="dcterms:W3CDTF">2019-10-25T17:21:00Z</dcterms:created>
  <dcterms:modified xsi:type="dcterms:W3CDTF">2019-10-25T17:21:00Z</dcterms:modified>
</cp:coreProperties>
</file>